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right"/>
        <w:rPr>
          <w:bCs/>
          <w:sz w:val="30"/>
          <w:szCs w:val="30"/>
        </w:rPr>
      </w:pPr>
      <w:r>
        <w:rPr>
          <w:rFonts w:hint="eastAsia"/>
          <w:bCs/>
          <w:sz w:val="30"/>
          <w:szCs w:val="30"/>
        </w:rPr>
        <w:t>合同编号：D010-KFQT-045</w:t>
      </w:r>
    </w:p>
    <w:p>
      <w:pPr>
        <w:spacing w:line="240" w:lineRule="atLeast"/>
        <w:jc w:val="center"/>
        <w:rPr>
          <w:b/>
          <w:sz w:val="36"/>
          <w:szCs w:val="36"/>
        </w:rPr>
      </w:pPr>
    </w:p>
    <w:p>
      <w:pPr>
        <w:spacing w:line="240" w:lineRule="atLeast"/>
        <w:jc w:val="center"/>
        <w:rPr>
          <w:b/>
          <w:sz w:val="36"/>
          <w:szCs w:val="36"/>
        </w:rPr>
      </w:pPr>
    </w:p>
    <w:p>
      <w:pPr>
        <w:spacing w:line="240" w:lineRule="atLeast"/>
        <w:jc w:val="center"/>
        <w:rPr>
          <w:b/>
          <w:sz w:val="36"/>
          <w:szCs w:val="36"/>
        </w:rPr>
      </w:pPr>
    </w:p>
    <w:p>
      <w:pPr>
        <w:spacing w:line="240" w:lineRule="atLeast"/>
        <w:jc w:val="center"/>
        <w:rPr>
          <w:b/>
          <w:sz w:val="36"/>
          <w:szCs w:val="36"/>
        </w:rPr>
      </w:pPr>
    </w:p>
    <w:p>
      <w:pPr>
        <w:spacing w:line="360" w:lineRule="auto"/>
        <w:jc w:val="center"/>
        <w:rPr>
          <w:rFonts w:ascii="宋体" w:hAnsi="宋体"/>
          <w:b/>
          <w:sz w:val="30"/>
          <w:szCs w:val="30"/>
        </w:rPr>
      </w:pPr>
      <w:r>
        <w:rPr>
          <w:rFonts w:hint="eastAsia" w:ascii="宋体" w:hAnsi="宋体"/>
          <w:b/>
          <w:sz w:val="30"/>
          <w:szCs w:val="30"/>
        </w:rPr>
        <w:t xml:space="preserve">    北京市密云区水源路南侧 C-2 地块土地一级开发项目 MY00-0105-6038、6040 地块 R2 二类居住用地项目</w:t>
      </w:r>
    </w:p>
    <w:p>
      <w:pPr>
        <w:spacing w:line="360" w:lineRule="auto"/>
        <w:jc w:val="center"/>
        <w:rPr>
          <w:rFonts w:ascii="宋体" w:hAnsi="宋体"/>
          <w:b/>
          <w:sz w:val="30"/>
          <w:szCs w:val="30"/>
        </w:rPr>
      </w:pPr>
      <w:r>
        <w:rPr>
          <w:rFonts w:hint="eastAsia" w:ascii="宋体" w:hAnsi="宋体"/>
          <w:b/>
          <w:sz w:val="30"/>
          <w:szCs w:val="30"/>
        </w:rPr>
        <w:t>车位销售备案价格评估合同</w:t>
      </w:r>
    </w:p>
    <w:p>
      <w:pPr>
        <w:spacing w:line="240" w:lineRule="atLeast"/>
        <w:jc w:val="center"/>
        <w:rPr>
          <w:rFonts w:ascii="宋体" w:hAnsi="宋体"/>
          <w:b/>
          <w:sz w:val="36"/>
          <w:szCs w:val="36"/>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rPr>
          <w:rFonts w:ascii="宋体" w:hAnsi="宋体"/>
          <w:b/>
          <w:sz w:val="28"/>
          <w:szCs w:val="28"/>
        </w:rPr>
      </w:pPr>
    </w:p>
    <w:p>
      <w:pPr>
        <w:spacing w:line="240" w:lineRule="atLeast"/>
        <w:ind w:firstLine="643" w:firstLineChars="200"/>
        <w:jc w:val="left"/>
        <w:rPr>
          <w:rFonts w:ascii="宋体" w:hAnsi="宋体"/>
          <w:b/>
          <w:sz w:val="32"/>
          <w:szCs w:val="32"/>
        </w:rPr>
      </w:pPr>
      <w:r>
        <w:rPr>
          <w:rFonts w:hint="eastAsia" w:ascii="宋体" w:hAnsi="宋体"/>
          <w:b/>
          <w:sz w:val="32"/>
          <w:szCs w:val="32"/>
        </w:rPr>
        <w:t>甲方（委托方）：北京祥业房地产有限公司</w:t>
      </w:r>
    </w:p>
    <w:p>
      <w:pPr>
        <w:spacing w:line="240" w:lineRule="atLeast"/>
        <w:ind w:firstLine="643" w:firstLineChars="200"/>
        <w:jc w:val="left"/>
        <w:rPr>
          <w:rFonts w:ascii="宋体" w:hAnsi="宋体"/>
          <w:b/>
          <w:sz w:val="36"/>
          <w:szCs w:val="36"/>
        </w:rPr>
      </w:pPr>
      <w:r>
        <w:rPr>
          <w:rFonts w:hint="eastAsia" w:ascii="宋体" w:hAnsi="宋体"/>
          <w:b/>
          <w:sz w:val="32"/>
          <w:szCs w:val="32"/>
        </w:rPr>
        <w:t>乙方（受托方）：北京康正宏基房地产评估有限公司</w:t>
      </w: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cs="黑体"/>
          <w:sz w:val="32"/>
          <w:szCs w:val="32"/>
        </w:rPr>
      </w:pPr>
    </w:p>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甲方（委托方）：</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 xml:space="preserve"> 北京祥业房地产有限公司</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pPr>
        <w:tabs>
          <w:tab w:val="left" w:pos="7560"/>
        </w:tabs>
        <w:spacing w:before="62" w:beforeLines="20" w:after="62" w:afterLines="20" w:line="480" w:lineRule="auto"/>
        <w:ind w:firstLine="482" w:firstLineChars="200"/>
        <w:rPr>
          <w:rFonts w:ascii="宋体" w:hAnsi="宋体" w:cs="宋体"/>
          <w:b/>
          <w:bCs/>
          <w:sz w:val="24"/>
          <w:szCs w:val="24"/>
          <w:u w:val="single"/>
        </w:rPr>
      </w:pPr>
      <w:bookmarkStart w:id="0" w:name="OLE_LINK71"/>
      <w:bookmarkStart w:id="1" w:name="OLE_LINK72"/>
      <w:r>
        <w:rPr>
          <w:rFonts w:hint="eastAsia" w:ascii="宋体" w:hAnsi="宋体" w:cs="宋体"/>
          <w:b/>
          <w:bCs/>
          <w:sz w:val="24"/>
          <w:szCs w:val="24"/>
        </w:rPr>
        <w:t xml:space="preserve">法定代表人: </w:t>
      </w:r>
      <w:r>
        <w:rPr>
          <w:rFonts w:hint="eastAsia" w:ascii="宋体" w:hAnsi="宋体" w:cs="宋体"/>
          <w:b/>
          <w:bCs/>
          <w:sz w:val="24"/>
          <w:szCs w:val="24"/>
          <w:u w:val="single"/>
        </w:rPr>
        <w:t xml:space="preserve"> 韩啸 </w:t>
      </w:r>
    </w:p>
    <w:p>
      <w:pPr>
        <w:tabs>
          <w:tab w:val="left" w:pos="7560"/>
        </w:tabs>
        <w:spacing w:before="62" w:beforeLines="20" w:after="62" w:afterLines="20" w:line="480" w:lineRule="auto"/>
        <w:ind w:left="424" w:leftChars="202" w:firstLine="2"/>
        <w:rPr>
          <w:rFonts w:ascii="宋体" w:hAnsi="宋体" w:cs="宋体"/>
          <w:b/>
          <w:bCs/>
          <w:sz w:val="24"/>
          <w:szCs w:val="24"/>
        </w:rPr>
      </w:pPr>
      <w:r>
        <w:rPr>
          <w:rFonts w:hint="eastAsia" w:ascii="宋体" w:hAnsi="宋体" w:cs="宋体"/>
          <w:b/>
          <w:bCs/>
          <w:sz w:val="24"/>
          <w:szCs w:val="24"/>
        </w:rPr>
        <w:t>地址:</w:t>
      </w:r>
      <w:r>
        <w:rPr>
          <w:rFonts w:hint="eastAsia" w:ascii="宋体" w:hAnsi="宋体" w:cs="宋体"/>
          <w:b/>
          <w:bCs/>
          <w:sz w:val="24"/>
          <w:szCs w:val="24"/>
          <w:u w:val="single"/>
        </w:rPr>
        <w:t xml:space="preserve"> 北京市朝阳区慧忠里320号住总大厦6层</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pPr>
        <w:tabs>
          <w:tab w:val="left" w:pos="7560"/>
        </w:tabs>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联系人:</w:t>
      </w:r>
      <w:r>
        <w:rPr>
          <w:rFonts w:hint="eastAsia" w:ascii="宋体" w:hAnsi="宋体" w:cs="宋体"/>
          <w:b/>
          <w:bCs/>
          <w:sz w:val="24"/>
          <w:szCs w:val="24"/>
          <w:u w:val="single"/>
        </w:rPr>
        <w:t xml:space="preserve"> 王博</w:t>
      </w:r>
    </w:p>
    <w:p>
      <w:pPr>
        <w:tabs>
          <w:tab w:val="left" w:pos="7560"/>
        </w:tabs>
        <w:spacing w:before="62" w:beforeLines="20" w:after="62" w:afterLines="20" w:line="480" w:lineRule="auto"/>
        <w:ind w:firstLine="482" w:firstLineChars="200"/>
        <w:rPr>
          <w:rFonts w:hint="default" w:ascii="宋体" w:hAnsi="宋体" w:eastAsia="宋体" w:cs="宋体"/>
          <w:b/>
          <w:bCs/>
          <w:sz w:val="24"/>
          <w:szCs w:val="24"/>
          <w:u w:val="single"/>
          <w:lang w:val="en-US" w:eastAsia="zh-CN"/>
        </w:rPr>
      </w:pPr>
      <w:r>
        <w:rPr>
          <w:rFonts w:hint="eastAsia" w:ascii="宋体" w:hAnsi="宋体" w:cs="宋体"/>
          <w:b/>
          <w:bCs/>
          <w:sz w:val="24"/>
          <w:szCs w:val="24"/>
        </w:rPr>
        <w:t>联系电话:</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84838523 </w:t>
      </w:r>
    </w:p>
    <w:bookmarkEnd w:id="0"/>
    <w:bookmarkEnd w:id="1"/>
    <w:p>
      <w:pPr>
        <w:tabs>
          <w:tab w:val="left" w:pos="7560"/>
        </w:tabs>
        <w:spacing w:before="62" w:beforeLines="20" w:after="62" w:afterLines="20" w:line="480" w:lineRule="auto"/>
        <w:ind w:firstLine="482" w:firstLineChars="200"/>
        <w:rPr>
          <w:rFonts w:ascii="宋体"/>
          <w:b/>
          <w:bCs/>
          <w:sz w:val="24"/>
          <w:szCs w:val="24"/>
          <w:u w:val="single"/>
        </w:rPr>
      </w:pPr>
    </w:p>
    <w:p>
      <w:pPr>
        <w:spacing w:before="62" w:beforeLines="20" w:after="62" w:afterLines="20" w:line="480" w:lineRule="auto"/>
        <w:ind w:firstLine="482" w:firstLineChars="200"/>
        <w:rPr>
          <w:rFonts w:ascii="宋体" w:hAnsi="宋体" w:cs="宋体"/>
          <w:b/>
          <w:bCs/>
          <w:sz w:val="24"/>
          <w:szCs w:val="24"/>
          <w:u w:val="single"/>
        </w:rPr>
      </w:pPr>
      <w:r>
        <w:rPr>
          <w:rFonts w:hint="eastAsia" w:ascii="宋体" w:hAnsi="宋体" w:cs="宋体"/>
          <w:b/>
          <w:bCs/>
          <w:sz w:val="24"/>
          <w:szCs w:val="24"/>
        </w:rPr>
        <w:t>乙方（受托方）：</w:t>
      </w:r>
      <w:r>
        <w:rPr>
          <w:rFonts w:ascii="宋体" w:hAnsi="宋体" w:cs="宋体"/>
          <w:b/>
          <w:bCs/>
          <w:sz w:val="24"/>
          <w:szCs w:val="24"/>
          <w:u w:val="single"/>
        </w:rPr>
        <w:t xml:space="preserve">  </w:t>
      </w:r>
      <w:bookmarkStart w:id="2" w:name="OLE_LINK2"/>
      <w:r>
        <w:rPr>
          <w:rFonts w:hint="eastAsia" w:ascii="宋体" w:hAnsi="宋体" w:cs="宋体"/>
          <w:b/>
          <w:bCs/>
          <w:sz w:val="24"/>
          <w:szCs w:val="24"/>
          <w:u w:val="single"/>
        </w:rPr>
        <w:t>北京康正宏基房地产评估有限公司</w:t>
      </w:r>
      <w:bookmarkEnd w:id="2"/>
      <w:r>
        <w:rPr>
          <w:rFonts w:ascii="宋体" w:hAnsi="宋体" w:cs="宋体"/>
          <w:b/>
          <w:bCs/>
          <w:sz w:val="24"/>
          <w:szCs w:val="24"/>
          <w:u w:val="single"/>
        </w:rPr>
        <w:t xml:space="preserve"> </w:t>
      </w:r>
      <w:bookmarkStart w:id="3" w:name="OLE_LINK314"/>
      <w:bookmarkStart w:id="4" w:name="OLE_LINK313"/>
      <w:r>
        <w:rPr>
          <w:rFonts w:ascii="宋体" w:hAnsi="宋体" w:cs="宋体"/>
          <w:b/>
          <w:bCs/>
          <w:sz w:val="24"/>
          <w:szCs w:val="24"/>
          <w:u w:val="single"/>
        </w:rPr>
        <w:t xml:space="preserve"> </w:t>
      </w:r>
      <w:bookmarkEnd w:id="3"/>
      <w:bookmarkEnd w:id="4"/>
      <w:bookmarkStart w:id="5" w:name="OLE_LINK84"/>
      <w:bookmarkStart w:id="6" w:name="OLE_LINK95"/>
      <w:bookmarkStart w:id="7" w:name="OLE_LINK90"/>
      <w:bookmarkStart w:id="8" w:name="OLE_LINK77"/>
      <w:bookmarkStart w:id="9" w:name="OLE_LINK86"/>
      <w:bookmarkStart w:id="10" w:name="OLE_LINK94"/>
      <w:bookmarkStart w:id="11" w:name="OLE_LINK96"/>
      <w:bookmarkStart w:id="12" w:name="OLE_LINK85"/>
      <w:bookmarkStart w:id="13" w:name="OLE_LINK89"/>
      <w:bookmarkStart w:id="14" w:name="OLE_LINK91"/>
      <w:bookmarkStart w:id="15" w:name="OLE_LINK78"/>
    </w:p>
    <w:p>
      <w:pPr>
        <w:spacing w:before="62" w:beforeLines="20" w:after="62" w:afterLines="20" w:line="480" w:lineRule="auto"/>
        <w:ind w:firstLine="482" w:firstLineChars="200"/>
        <w:rPr>
          <w:rFonts w:ascii="宋体"/>
          <w:b/>
          <w:bCs/>
          <w:sz w:val="24"/>
          <w:szCs w:val="24"/>
        </w:rPr>
      </w:pPr>
      <w:bookmarkStart w:id="16" w:name="OLE_LINK100"/>
      <w:bookmarkStart w:id="17" w:name="OLE_LINK99"/>
      <w:r>
        <w:rPr>
          <w:rFonts w:hint="eastAsia" w:ascii="宋体"/>
          <w:b/>
          <w:bCs/>
          <w:sz w:val="24"/>
          <w:szCs w:val="24"/>
        </w:rPr>
        <w:t xml:space="preserve">法定代表人: </w:t>
      </w:r>
      <w:r>
        <w:rPr>
          <w:rFonts w:hint="eastAsia" w:ascii="宋体"/>
          <w:b/>
          <w:bCs/>
          <w:sz w:val="24"/>
          <w:szCs w:val="24"/>
          <w:u w:val="single"/>
        </w:rPr>
        <w:t>齐宏</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地址: </w:t>
      </w:r>
      <w:r>
        <w:rPr>
          <w:rFonts w:hint="eastAsia" w:ascii="宋体"/>
          <w:b/>
          <w:bCs/>
          <w:sz w:val="24"/>
          <w:szCs w:val="24"/>
          <w:u w:val="single"/>
        </w:rPr>
        <w:t>北京市丰台区芳城园一区16号楼2层2门配套公建01</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联系人: </w:t>
      </w:r>
      <w:r>
        <w:rPr>
          <w:rFonts w:hint="eastAsia" w:ascii="宋体"/>
          <w:b/>
          <w:bCs/>
          <w:sz w:val="24"/>
          <w:szCs w:val="24"/>
          <w:u w:val="single"/>
        </w:rPr>
        <w:t>吴琼</w:t>
      </w:r>
    </w:p>
    <w:p>
      <w:pPr>
        <w:spacing w:before="62" w:beforeLines="20" w:after="62" w:afterLines="20" w:line="480" w:lineRule="auto"/>
        <w:ind w:firstLine="482" w:firstLineChars="200"/>
        <w:rPr>
          <w:rFonts w:ascii="宋体"/>
          <w:b/>
          <w:bCs/>
          <w:sz w:val="24"/>
          <w:szCs w:val="24"/>
        </w:rPr>
      </w:pPr>
      <w:r>
        <w:rPr>
          <w:rFonts w:hint="eastAsia" w:ascii="宋体"/>
          <w:b/>
          <w:bCs/>
          <w:sz w:val="24"/>
          <w:szCs w:val="24"/>
        </w:rPr>
        <w:t xml:space="preserve">联系电话: </w:t>
      </w:r>
      <w:r>
        <w:rPr>
          <w:rFonts w:ascii="宋体"/>
          <w:b/>
          <w:bCs/>
          <w:sz w:val="24"/>
          <w:szCs w:val="24"/>
          <w:u w:val="single"/>
        </w:rPr>
        <w:t>13810378212</w:t>
      </w:r>
    </w:p>
    <w:p>
      <w:pPr>
        <w:spacing w:before="62" w:beforeLines="20" w:after="62" w:afterLines="20" w:line="480" w:lineRule="auto"/>
        <w:ind w:firstLine="480" w:firstLineChars="200"/>
        <w:rPr>
          <w:rFonts w:ascii="宋体"/>
          <w:bCs/>
          <w:sz w:val="24"/>
          <w:szCs w:val="24"/>
          <w:u w:val="single"/>
        </w:rPr>
      </w:pPr>
    </w:p>
    <w:bookmarkEnd w:id="5"/>
    <w:bookmarkEnd w:id="6"/>
    <w:bookmarkEnd w:id="7"/>
    <w:bookmarkEnd w:id="8"/>
    <w:bookmarkEnd w:id="9"/>
    <w:bookmarkEnd w:id="10"/>
    <w:bookmarkEnd w:id="11"/>
    <w:bookmarkEnd w:id="12"/>
    <w:bookmarkEnd w:id="13"/>
    <w:bookmarkEnd w:id="14"/>
    <w:bookmarkEnd w:id="15"/>
    <w:bookmarkEnd w:id="16"/>
    <w:bookmarkEnd w:id="17"/>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8" w:name="OLE_LINK104"/>
      <w:bookmarkStart w:id="19" w:name="OLE_LINK103"/>
      <w:r>
        <w:rPr>
          <w:rFonts w:hint="eastAsia" w:ascii="宋体" w:hAnsi="宋体" w:cs="宋体"/>
          <w:sz w:val="24"/>
          <w:szCs w:val="24"/>
        </w:rPr>
        <w:t>等</w:t>
      </w:r>
      <w:bookmarkEnd w:id="18"/>
      <w:bookmarkEnd w:id="19"/>
      <w:r>
        <w:rPr>
          <w:rFonts w:hint="eastAsia" w:ascii="宋体" w:hAnsi="宋体" w:cs="宋体"/>
          <w:sz w:val="24"/>
          <w:szCs w:val="24"/>
        </w:rPr>
        <w:t>相关法律、</w:t>
      </w:r>
      <w:bookmarkStart w:id="20" w:name="OLE_LINK105"/>
      <w:r>
        <w:rPr>
          <w:rFonts w:hint="eastAsia" w:ascii="宋体" w:hAnsi="宋体" w:cs="宋体"/>
          <w:sz w:val="24"/>
          <w:szCs w:val="24"/>
        </w:rPr>
        <w:t>法规</w:t>
      </w:r>
      <w:bookmarkEnd w:id="20"/>
      <w:r>
        <w:rPr>
          <w:rFonts w:hint="eastAsia" w:ascii="宋体" w:hAnsi="宋体" w:cs="宋体"/>
          <w:sz w:val="24"/>
          <w:szCs w:val="24"/>
        </w:rPr>
        <w:t>的规定，甲乙双方</w:t>
      </w:r>
      <w:bookmarkStart w:id="21" w:name="OLE_LINK114"/>
      <w:bookmarkStart w:id="22" w:name="OLE_LINK113"/>
      <w:r>
        <w:rPr>
          <w:rFonts w:hint="eastAsia" w:ascii="宋体" w:hAnsi="宋体" w:cs="宋体"/>
          <w:sz w:val="24"/>
          <w:szCs w:val="24"/>
        </w:rPr>
        <w:t>经平等</w:t>
      </w:r>
      <w:bookmarkEnd w:id="21"/>
      <w:bookmarkEnd w:id="22"/>
      <w:r>
        <w:rPr>
          <w:rFonts w:hint="eastAsia" w:ascii="宋体" w:hAnsi="宋体" w:cs="宋体"/>
          <w:sz w:val="24"/>
          <w:szCs w:val="24"/>
        </w:rPr>
        <w:t>协商</w:t>
      </w:r>
      <w:bookmarkStart w:id="23" w:name="OLE_LINK107"/>
      <w:bookmarkStart w:id="24" w:name="OLE_LINK108"/>
      <w:r>
        <w:rPr>
          <w:rFonts w:hint="eastAsia" w:ascii="宋体" w:hAnsi="宋体" w:cs="宋体"/>
          <w:sz w:val="24"/>
          <w:szCs w:val="24"/>
        </w:rPr>
        <w:t>，</w:t>
      </w:r>
      <w:bookmarkEnd w:id="23"/>
      <w:bookmarkEnd w:id="24"/>
      <w:bookmarkStart w:id="25" w:name="OLE_LINK112"/>
      <w:bookmarkStart w:id="26" w:name="OLE_LINK111"/>
      <w:bookmarkStart w:id="27" w:name="OLE_LINK115"/>
      <w:r>
        <w:rPr>
          <w:rFonts w:hint="eastAsia" w:ascii="宋体" w:hAnsi="宋体" w:cs="宋体"/>
          <w:sz w:val="24"/>
          <w:szCs w:val="24"/>
        </w:rPr>
        <w:t>就甲方委托乙方向其提供估价服务的相关事宜达成一致，</w:t>
      </w:r>
      <w:bookmarkEnd w:id="25"/>
      <w:bookmarkEnd w:id="26"/>
      <w:bookmarkEnd w:id="27"/>
      <w:r>
        <w:rPr>
          <w:rFonts w:hint="eastAsia" w:ascii="宋体" w:hAnsi="宋体" w:cs="宋体"/>
          <w:sz w:val="24"/>
          <w:szCs w:val="24"/>
        </w:rPr>
        <w:t>并订立本合同，以资共同信守。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北京市密云区水源路南侧 C-2 地块土地一级开发项目 MY00-0105-6038、6040 地块 R2 二类居住用地项目（6038-1#住宅楼等 15 项）（6040-1#住宅楼等 12 项）工程</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bookmarkStart w:id="28" w:name="OLE_LINK3"/>
      <w:r>
        <w:rPr>
          <w:rFonts w:hint="eastAsia" w:ascii="宋体" w:hAnsi="宋体" w:cs="宋体"/>
          <w:b/>
          <w:bCs/>
          <w:sz w:val="24"/>
          <w:szCs w:val="24"/>
          <w:u w:val="single"/>
        </w:rPr>
        <w:t>车位销售拟申报备案价格</w:t>
      </w:r>
      <w:bookmarkEnd w:id="28"/>
      <w:r>
        <w:rPr>
          <w:rFonts w:ascii="宋体" w:hAnsi="宋体" w:cs="宋体"/>
          <w:b/>
          <w:bCs/>
          <w:sz w:val="24"/>
          <w:szCs w:val="24"/>
          <w:u w:val="single"/>
        </w:rPr>
        <w:t xml:space="preserve">                </w:t>
      </w:r>
    </w:p>
    <w:p>
      <w:pPr>
        <w:pStyle w:val="13"/>
        <w:spacing w:before="62" w:beforeLines="20" w:after="62" w:afterLines="20" w:line="480" w:lineRule="auto"/>
        <w:ind w:firstLine="482" w:firstLineChars="200"/>
        <w:rPr>
          <w:rFonts w:cs="Times New Roman"/>
          <w:highlight w:val="none"/>
        </w:rPr>
      </w:pPr>
      <w:r>
        <w:rPr>
          <w:rFonts w:hint="eastAsia"/>
          <w:highlight w:val="none"/>
        </w:rPr>
        <w:t>三、估价对象和估价范围：</w:t>
      </w:r>
      <w:r>
        <w:rPr>
          <w:rFonts w:hint="eastAsia"/>
          <w:highlight w:val="none"/>
          <w:u w:val="single"/>
        </w:rPr>
        <w:t>见不动产权证，实测报告等相关资料附件</w:t>
      </w:r>
      <w:r>
        <w:rPr>
          <w:highlight w:val="none"/>
          <w:u w:val="single"/>
        </w:rPr>
        <w:t xml:space="preserve">  </w:t>
      </w:r>
    </w:p>
    <w:p>
      <w:pPr>
        <w:spacing w:before="62" w:beforeLines="20" w:after="62" w:afterLines="20" w:line="480" w:lineRule="auto"/>
        <w:ind w:firstLine="482" w:firstLineChars="200"/>
        <w:rPr>
          <w:rFonts w:ascii="宋体"/>
          <w:sz w:val="24"/>
          <w:szCs w:val="24"/>
          <w:highlight w:val="none"/>
        </w:rPr>
      </w:pPr>
      <w:r>
        <w:rPr>
          <w:rFonts w:hint="eastAsia" w:ascii="宋体" w:hAnsi="宋体" w:cs="宋体"/>
          <w:b/>
          <w:bCs/>
          <w:sz w:val="24"/>
          <w:szCs w:val="24"/>
          <w:highlight w:val="none"/>
        </w:rPr>
        <w:t>四、价值时点：</w:t>
      </w:r>
      <w:r>
        <w:rPr>
          <w:rFonts w:hint="eastAsia" w:ascii="宋体" w:hAnsi="宋体" w:cs="宋体"/>
          <w:b/>
          <w:bCs/>
          <w:sz w:val="24"/>
          <w:szCs w:val="24"/>
          <w:highlight w:val="none"/>
          <w:u w:val="single"/>
        </w:rPr>
        <w:t>依据估价委托书</w:t>
      </w:r>
    </w:p>
    <w:p>
      <w:pPr>
        <w:spacing w:before="62" w:beforeLines="20" w:after="62" w:afterLines="20" w:line="480" w:lineRule="auto"/>
        <w:ind w:firstLine="482" w:firstLineChars="200"/>
      </w:pPr>
      <w:r>
        <w:rPr>
          <w:rFonts w:hint="eastAsia" w:ascii="宋体" w:hAnsi="宋体" w:cs="宋体"/>
          <w:b/>
          <w:bCs/>
          <w:sz w:val="24"/>
          <w:szCs w:val="24"/>
          <w:highlight w:val="none"/>
        </w:rPr>
        <w:t>五、价值类型：</w:t>
      </w:r>
      <w:bookmarkStart w:id="29" w:name="OLE_LINK316"/>
      <w:bookmarkStart w:id="30" w:name="OLE_LINK315"/>
      <w:r>
        <w:rPr>
          <w:rFonts w:ascii="宋体" w:hAnsi="宋体" w:cs="宋体"/>
          <w:bCs/>
          <w:sz w:val="24"/>
          <w:szCs w:val="24"/>
          <w:highlight w:val="none"/>
          <w:u w:val="single"/>
        </w:rPr>
        <w:t xml:space="preserve">  </w:t>
      </w:r>
      <w:bookmarkEnd w:id="29"/>
      <w:bookmarkEnd w:id="30"/>
      <w:r>
        <w:rPr>
          <w:rFonts w:hint="eastAsia" w:ascii="宋体" w:hAnsi="宋体" w:cs="宋体"/>
          <w:bCs/>
          <w:sz w:val="24"/>
          <w:szCs w:val="24"/>
          <w:highlight w:val="none"/>
          <w:u w:val="single"/>
        </w:rPr>
        <w:t xml:space="preserve"> </w:t>
      </w:r>
      <w:r>
        <w:rPr>
          <w:rFonts w:hint="eastAsia" w:ascii="宋体" w:hAnsi="宋体" w:cs="宋体"/>
          <w:b/>
          <w:sz w:val="24"/>
          <w:szCs w:val="24"/>
          <w:highlight w:val="none"/>
          <w:u w:val="single"/>
        </w:rPr>
        <w:t>市场价值</w:t>
      </w:r>
      <w:r>
        <w:rPr>
          <w:rFonts w:hint="eastAsia" w:ascii="宋体" w:hAnsi="宋体" w:cs="宋体"/>
          <w:bCs/>
          <w:sz w:val="24"/>
          <w:szCs w:val="24"/>
          <w:highlight w:val="none"/>
          <w:u w:val="single"/>
        </w:rPr>
        <w:t xml:space="preserve">   </w:t>
      </w:r>
      <w:r>
        <w:rPr>
          <w:rFonts w:ascii="宋体" w:hAnsi="宋体" w:cs="宋体"/>
          <w:b/>
          <w:bCs/>
          <w:sz w:val="24"/>
          <w:szCs w:val="24"/>
          <w:highlight w:val="none"/>
          <w:u w:val="single"/>
        </w:rPr>
        <w:t xml:space="preserve"> </w:t>
      </w:r>
    </w:p>
    <w:p>
      <w:pPr>
        <w:spacing w:before="62" w:beforeLines="20" w:after="62" w:afterLines="20" w:line="400" w:lineRule="exact"/>
        <w:ind w:firstLine="482" w:firstLineChars="200"/>
        <w:rPr>
          <w:rFonts w:ascii="宋体"/>
          <w:sz w:val="24"/>
          <w:szCs w:val="24"/>
          <w:highlight w:val="none"/>
        </w:rPr>
      </w:pPr>
      <w:r>
        <w:rPr>
          <w:rFonts w:hint="eastAsia" w:ascii="宋体" w:hAnsi="宋体" w:cs="宋体"/>
          <w:b/>
          <w:bCs/>
          <w:sz w:val="24"/>
          <w:szCs w:val="24"/>
          <w:highlight w:val="none"/>
        </w:rPr>
        <w:t>六、评估报告提交期限和方式</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highlight w:val="none"/>
        </w:rPr>
        <w:t>根据估价工作时间安排，甲方应先期准备或指定不动产</w:t>
      </w:r>
      <w:bookmarkStart w:id="31" w:name="OLE_LINK62"/>
      <w:bookmarkStart w:id="32" w:name="OLE_LINK61"/>
      <w:r>
        <w:rPr>
          <w:rFonts w:hint="eastAsia" w:ascii="宋体" w:hAnsi="宋体" w:cs="宋体"/>
          <w:sz w:val="24"/>
          <w:szCs w:val="24"/>
          <w:highlight w:val="none"/>
        </w:rPr>
        <w:t>权利</w:t>
      </w:r>
      <w:bookmarkEnd w:id="31"/>
      <w:bookmarkEnd w:id="32"/>
      <w:r>
        <w:rPr>
          <w:rFonts w:hint="eastAsia" w:ascii="宋体" w:hAnsi="宋体" w:cs="宋体"/>
          <w:sz w:val="24"/>
          <w:szCs w:val="24"/>
          <w:highlight w:val="none"/>
        </w:rPr>
        <w:t>人、此次经济行为相关方提供乙方估价所需的不动产权属证明及其他相关</w:t>
      </w:r>
      <w:bookmarkStart w:id="33" w:name="OLE_LINK117"/>
      <w:bookmarkStart w:id="34" w:name="OLE_LINK116"/>
      <w:r>
        <w:rPr>
          <w:rFonts w:hint="eastAsia" w:ascii="宋体" w:hAnsi="宋体" w:cs="宋体"/>
          <w:sz w:val="24"/>
          <w:szCs w:val="24"/>
          <w:highlight w:val="none"/>
        </w:rPr>
        <w:t>资料</w:t>
      </w:r>
      <w:bookmarkEnd w:id="33"/>
      <w:bookmarkEnd w:id="34"/>
      <w:r>
        <w:rPr>
          <w:rFonts w:hint="eastAsia" w:ascii="宋体" w:hAnsi="宋体" w:cs="宋体"/>
          <w:sz w:val="24"/>
          <w:szCs w:val="24"/>
          <w:highlight w:val="none"/>
        </w:rPr>
        <w:t>，并于取得相关资料10天以前将上述资料交给乙方。在正常情况下，乙方收到上述应提供的全部资料后，组织评估专业人员在</w:t>
      </w:r>
      <w:r>
        <w:rPr>
          <w:rFonts w:hint="eastAsia" w:ascii="宋体" w:hAnsi="宋体" w:cs="宋体"/>
          <w:sz w:val="24"/>
          <w:szCs w:val="24"/>
          <w:highlight w:val="none"/>
          <w:u w:val="single"/>
        </w:rPr>
        <w:t xml:space="preserve"> 5 </w:t>
      </w:r>
      <w:r>
        <w:rPr>
          <w:rFonts w:hint="eastAsia" w:ascii="宋体" w:hAnsi="宋体" w:cs="宋体"/>
          <w:sz w:val="24"/>
          <w:szCs w:val="24"/>
          <w:highlight w:val="none"/>
        </w:rPr>
        <w:t>个工作日内完成甲方委托的评估工作，</w:t>
      </w:r>
      <w:bookmarkStart w:id="35" w:name="OLE_LINK281"/>
      <w:bookmarkStart w:id="36" w:name="OLE_LINK284"/>
      <w:bookmarkStart w:id="37" w:name="OLE_LINK283"/>
      <w:bookmarkStart w:id="38" w:name="OLE_LINK282"/>
      <w:r>
        <w:rPr>
          <w:rFonts w:ascii="Arial" w:hAnsi="Arial" w:cs="Arial"/>
          <w:bCs/>
          <w:sz w:val="24"/>
          <w:highlight w:val="none"/>
        </w:rPr>
        <w:t>以乙方</w:t>
      </w:r>
      <w:r>
        <w:rPr>
          <w:rFonts w:ascii="Arial" w:hAnsi="Arial" w:cs="Arial"/>
          <w:bCs/>
          <w:sz w:val="24"/>
        </w:rPr>
        <w:t>邮寄</w:t>
      </w:r>
      <w:r>
        <w:rPr>
          <w:rFonts w:hint="eastAsia" w:ascii="Arial" w:hAnsi="Arial" w:cs="Arial"/>
          <w:bCs/>
          <w:sz w:val="24"/>
        </w:rPr>
        <w:t>或</w:t>
      </w:r>
      <w:r>
        <w:rPr>
          <w:rFonts w:ascii="Arial" w:hAnsi="Arial" w:cs="Arial"/>
          <w:bCs/>
          <w:sz w:val="24"/>
        </w:rPr>
        <w:t>送达方式</w:t>
      </w:r>
      <w:bookmarkEnd w:id="35"/>
      <w:bookmarkEnd w:id="36"/>
      <w:bookmarkEnd w:id="37"/>
      <w:bookmarkEnd w:id="38"/>
      <w:r>
        <w:rPr>
          <w:rFonts w:hint="eastAsia" w:ascii="宋体" w:hAnsi="宋体" w:cs="宋体"/>
          <w:sz w:val="24"/>
          <w:szCs w:val="24"/>
        </w:rPr>
        <w:t>向甲方提交《不动产估价报告书》</w:t>
      </w:r>
      <w:bookmarkStart w:id="39" w:name="OLE_LINK136"/>
      <w:bookmarkStart w:id="40" w:name="OLE_LINK137"/>
      <w:r>
        <w:rPr>
          <w:rFonts w:hint="eastAsia" w:ascii="宋体" w:hAnsi="宋体" w:cs="宋体"/>
          <w:sz w:val="24"/>
          <w:szCs w:val="24"/>
        </w:rPr>
        <w:t>。</w:t>
      </w:r>
      <w:bookmarkEnd w:id="39"/>
      <w:bookmarkEnd w:id="40"/>
      <w:r>
        <w:rPr>
          <w:rFonts w:hint="eastAsia" w:ascii="宋体" w:hAnsi="宋体" w:cs="宋体"/>
          <w:sz w:val="24"/>
          <w:szCs w:val="24"/>
        </w:rPr>
        <w:t>若因甲方（含其指定不动产权利人、此次经济行为相关方）不能及时提供资料或不可抗力因素，乙方可以顺延提交报告的时间。</w:t>
      </w:r>
    </w:p>
    <w:p>
      <w:pPr>
        <w:tabs>
          <w:tab w:val="left" w:pos="720"/>
        </w:tabs>
        <w:spacing w:before="62" w:beforeLines="20" w:after="62" w:afterLines="20" w:line="400" w:lineRule="exact"/>
        <w:ind w:firstLine="482" w:firstLineChars="200"/>
        <w:rPr>
          <w:rFonts w:ascii="宋体"/>
          <w:b/>
          <w:bCs/>
          <w:sz w:val="24"/>
          <w:szCs w:val="24"/>
        </w:rPr>
      </w:pPr>
      <w:bookmarkStart w:id="41" w:name="OLE_LINK216"/>
      <w:bookmarkStart w:id="42" w:name="OLE_LINK215"/>
      <w:bookmarkStart w:id="43" w:name="OLE_LINK208"/>
      <w:bookmarkStart w:id="44" w:name="OLE_LINK206"/>
      <w:bookmarkStart w:id="45" w:name="OLE_LINK207"/>
    </w:p>
    <w:bookmarkEnd w:id="41"/>
    <w:bookmarkEnd w:id="42"/>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6" w:name="OLE_LINK300"/>
      <w:bookmarkStart w:id="47" w:name="OLE_LINK299"/>
      <w:r>
        <w:rPr>
          <w:rFonts w:hint="eastAsia" w:ascii="宋体"/>
          <w:sz w:val="24"/>
          <w:szCs w:val="24"/>
        </w:rPr>
        <w:t>评估</w:t>
      </w:r>
      <w:bookmarkEnd w:id="46"/>
      <w:bookmarkEnd w:id="47"/>
      <w:r>
        <w:rPr>
          <w:rFonts w:hint="eastAsia" w:ascii="宋体"/>
          <w:sz w:val="24"/>
          <w:szCs w:val="24"/>
        </w:rPr>
        <w:t>报告载明的评估结论使用有效期内和使用范围内使用评估报告。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bookmarkEnd w:id="43"/>
    <w:bookmarkEnd w:id="44"/>
    <w:bookmarkEnd w:id="45"/>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pPr>
        <w:tabs>
          <w:tab w:val="left" w:pos="720"/>
        </w:tabs>
        <w:spacing w:before="62" w:beforeLines="20" w:after="62" w:afterLines="20" w:line="360" w:lineRule="auto"/>
        <w:ind w:firstLine="480" w:firstLineChars="200"/>
        <w:rPr>
          <w:rFonts w:ascii="宋体" w:cs="宋体"/>
          <w:sz w:val="24"/>
          <w:szCs w:val="24"/>
          <w:highlight w:val="none"/>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15000</w:t>
      </w:r>
      <w:r>
        <w:rPr>
          <w:rFonts w:ascii="宋体" w:hAnsi="宋体" w:cs="宋体"/>
          <w:sz w:val="24"/>
          <w:szCs w:val="24"/>
          <w:u w:val="single"/>
        </w:rPr>
        <w:t xml:space="preserve"> </w:t>
      </w:r>
      <w:r>
        <w:rPr>
          <w:rFonts w:hint="eastAsia" w:ascii="宋体" w:hAnsi="宋体" w:cs="宋体"/>
          <w:sz w:val="24"/>
          <w:szCs w:val="24"/>
        </w:rPr>
        <w:t>元，大写：人民币</w:t>
      </w:r>
      <w:r>
        <w:rPr>
          <w:rFonts w:hint="eastAsia" w:ascii="宋体" w:hAnsi="宋体" w:cs="宋体"/>
          <w:sz w:val="24"/>
          <w:szCs w:val="24"/>
          <w:u w:val="single"/>
        </w:rPr>
        <w:t xml:space="preserve"> 壹万伍仟 </w:t>
      </w:r>
      <w:r>
        <w:rPr>
          <w:rFonts w:hint="eastAsia" w:ascii="宋体" w:hAnsi="宋体" w:cs="宋体"/>
          <w:sz w:val="24"/>
          <w:szCs w:val="24"/>
        </w:rPr>
        <w:t>元 ；其中不含税价款：</w:t>
      </w:r>
      <w:r>
        <w:rPr>
          <w:rFonts w:hint="eastAsia" w:ascii="宋体" w:hAnsi="宋体" w:cs="宋体"/>
          <w:sz w:val="24"/>
          <w:szCs w:val="24"/>
          <w:u w:val="single"/>
        </w:rPr>
        <w:t>￥14150.94</w:t>
      </w:r>
      <w:r>
        <w:rPr>
          <w:rFonts w:hint="eastAsia" w:ascii="宋体" w:hAnsi="宋体" w:cs="宋体"/>
          <w:sz w:val="24"/>
          <w:szCs w:val="24"/>
        </w:rPr>
        <w:t>元；税款</w:t>
      </w:r>
      <w:r>
        <w:rPr>
          <w:rFonts w:hint="eastAsia" w:ascii="宋体" w:hAnsi="宋体" w:cs="宋体"/>
          <w:sz w:val="24"/>
          <w:szCs w:val="24"/>
          <w:u w:val="single"/>
        </w:rPr>
        <w:t>￥849.06</w:t>
      </w:r>
      <w:r>
        <w:rPr>
          <w:rFonts w:hint="eastAsia" w:ascii="宋体" w:hAnsi="宋体" w:cs="宋体"/>
          <w:sz w:val="24"/>
          <w:szCs w:val="24"/>
          <w:highlight w:val="none"/>
        </w:rPr>
        <w:t>元，税率6%。</w:t>
      </w:r>
    </w:p>
    <w:p>
      <w:pPr>
        <w:tabs>
          <w:tab w:val="left" w:pos="720"/>
        </w:tabs>
        <w:spacing w:before="62" w:beforeLines="20" w:after="62" w:afterLines="20" w:line="360" w:lineRule="auto"/>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支付方式：乙方提交正式《不动产估价报告书》</w:t>
      </w:r>
      <w:r>
        <w:rPr>
          <w:rFonts w:hint="eastAsia" w:ascii="宋体" w:hAnsi="宋体" w:cs="宋体"/>
          <w:sz w:val="24"/>
          <w:szCs w:val="24"/>
          <w:highlight w:val="none"/>
          <w:u w:val="single"/>
        </w:rPr>
        <w:t xml:space="preserve">  30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日内，甲方支付给乙方</w:t>
      </w:r>
      <w:r>
        <w:rPr>
          <w:rFonts w:ascii="宋体" w:hAnsi="宋体" w:cs="宋体"/>
          <w:sz w:val="24"/>
          <w:szCs w:val="24"/>
          <w:highlight w:val="none"/>
          <w:u w:val="single"/>
        </w:rPr>
        <w:t xml:space="preserve"> </w:t>
      </w:r>
      <w:r>
        <w:rPr>
          <w:rFonts w:hint="eastAsia" w:ascii="宋体" w:hAnsi="宋体" w:cs="宋体"/>
          <w:sz w:val="24"/>
          <w:szCs w:val="24"/>
          <w:highlight w:val="none"/>
          <w:u w:val="single"/>
        </w:rPr>
        <w:t>15000</w:t>
      </w:r>
      <w:r>
        <w:rPr>
          <w:rFonts w:hint="eastAsia" w:ascii="宋体" w:hAnsi="宋体" w:cs="宋体"/>
          <w:sz w:val="24"/>
          <w:szCs w:val="24"/>
          <w:highlight w:val="none"/>
        </w:rPr>
        <w:t>元。乙方应在每次收款前提供等额的增值税专用/普通发票。</w:t>
      </w:r>
    </w:p>
    <w:p>
      <w:pPr>
        <w:tabs>
          <w:tab w:val="left" w:pos="720"/>
        </w:tabs>
        <w:spacing w:before="62" w:beforeLines="20" w:after="62" w:afterLines="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甲乙双方开票和账户信息</w:t>
      </w:r>
    </w:p>
    <w:p>
      <w:pPr>
        <w:tabs>
          <w:tab w:val="left" w:pos="720"/>
        </w:tabs>
        <w:spacing w:before="62" w:beforeLines="20" w:after="62" w:afterLines="2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甲方开票信息如下：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单位全称：北京祥业房地产有限公司</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纳税人识别号：911 100 006 259 027 682</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地址：北京市朝阳区慧忠里320号住总大厦6层</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电话：010-84838540</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开户银行：中国建设银行安慧支行</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开户账号：1100 1018 5000 5300 6091</w:t>
      </w:r>
    </w:p>
    <w:p>
      <w:pPr>
        <w:pStyle w:val="2"/>
      </w:pPr>
      <w:bookmarkStart w:id="123" w:name="_GoBack"/>
      <w:bookmarkEnd w:id="123"/>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甲方权利与义务</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8" w:name="OLE_LINK139"/>
      <w:bookmarkStart w:id="49" w:name="OLE_LINK138"/>
      <w:r>
        <w:rPr>
          <w:rFonts w:hint="eastAsia" w:ascii="宋体" w:hAnsi="宋体" w:cs="宋体"/>
          <w:sz w:val="24"/>
          <w:szCs w:val="24"/>
        </w:rPr>
        <w:t>估价对象权属</w:t>
      </w:r>
      <w:bookmarkEnd w:id="48"/>
      <w:bookmarkEnd w:id="49"/>
      <w:r>
        <w:rPr>
          <w:rFonts w:hint="eastAsia" w:ascii="宋体" w:hAnsi="宋体" w:cs="宋体"/>
          <w:sz w:val="24"/>
          <w:szCs w:val="24"/>
        </w:rPr>
        <w:t>证明、财务会计信息和其他资料的真实性、完整性和合法性负责，应按合同约定及时提供。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5.甲方有义务正确、恰当地使用《不动产估价报告书》</w:t>
      </w:r>
      <w:bookmarkStart w:id="50" w:name="OLE_LINK143"/>
      <w:bookmarkStart w:id="51" w:name="OLE_LINK144"/>
      <w:bookmarkStart w:id="52" w:name="OLE_LINK142"/>
      <w:r>
        <w:rPr>
          <w:rFonts w:hint="eastAsia" w:ascii="宋体"/>
          <w:sz w:val="24"/>
          <w:szCs w:val="24"/>
        </w:rPr>
        <w:t>。</w:t>
      </w:r>
      <w:bookmarkEnd w:id="50"/>
      <w:bookmarkEnd w:id="51"/>
      <w:bookmarkEnd w:id="52"/>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53" w:name="OLE_LINK150"/>
      <w:bookmarkStart w:id="54" w:name="OLE_LINK157"/>
      <w:bookmarkStart w:id="55" w:name="OLE_LINK149"/>
      <w:r>
        <w:rPr>
          <w:rFonts w:ascii="宋体"/>
          <w:sz w:val="24"/>
          <w:szCs w:val="24"/>
        </w:rPr>
        <w:t xml:space="preserve"> </w:t>
      </w:r>
      <w:bookmarkStart w:id="56" w:name="OLE_LINK156"/>
      <w:bookmarkStart w:id="57" w:name="OLE_LINK155"/>
      <w:bookmarkStart w:id="58" w:name="OLE_LINK148"/>
      <w:bookmarkStart w:id="59" w:name="OLE_LINK147"/>
      <w:r>
        <w:rPr>
          <w:rFonts w:hint="eastAsia"/>
          <w:sz w:val="24"/>
          <w:szCs w:val="24"/>
        </w:rPr>
        <w:t>本</w:t>
      </w:r>
      <w:bookmarkEnd w:id="56"/>
      <w:bookmarkEnd w:id="57"/>
      <w:r>
        <w:rPr>
          <w:rFonts w:hint="eastAsia"/>
          <w:sz w:val="24"/>
          <w:szCs w:val="24"/>
        </w:rPr>
        <w:t>合同项下</w:t>
      </w:r>
      <w:bookmarkStart w:id="60" w:name="OLE_LINK146"/>
      <w:bookmarkStart w:id="61" w:name="OLE_LINK145"/>
      <w:r>
        <w:rPr>
          <w:rFonts w:hint="eastAsia"/>
          <w:sz w:val="24"/>
          <w:szCs w:val="24"/>
        </w:rPr>
        <w:t>，</w:t>
      </w:r>
      <w:bookmarkEnd w:id="60"/>
      <w:bookmarkEnd w:id="61"/>
      <w:r>
        <w:rPr>
          <w:rFonts w:hint="eastAsia"/>
          <w:sz w:val="24"/>
          <w:szCs w:val="24"/>
        </w:rPr>
        <w:t>乙方提交的所有成果文件(含过程文件)的知识产权归乙方所有，甲方对估价报告</w:t>
      </w:r>
      <w:bookmarkStart w:id="62" w:name="OLE_LINK154"/>
      <w:bookmarkStart w:id="63" w:name="OLE_LINK153"/>
      <w:r>
        <w:rPr>
          <w:rFonts w:hint="eastAsia"/>
          <w:sz w:val="24"/>
          <w:szCs w:val="24"/>
        </w:rPr>
        <w:t>享有</w:t>
      </w:r>
      <w:bookmarkEnd w:id="62"/>
      <w:bookmarkEnd w:id="63"/>
      <w:r>
        <w:rPr>
          <w:rFonts w:hint="eastAsia"/>
          <w:sz w:val="24"/>
          <w:szCs w:val="24"/>
        </w:rPr>
        <w:t>使用权。未经乙方</w:t>
      </w:r>
      <w:bookmarkStart w:id="64" w:name="OLE_LINK152"/>
      <w:bookmarkStart w:id="65" w:name="OLE_LINK151"/>
      <w:r>
        <w:rPr>
          <w:rFonts w:hint="eastAsia"/>
          <w:sz w:val="24"/>
          <w:szCs w:val="24"/>
        </w:rPr>
        <w:t>同意</w:t>
      </w:r>
      <w:bookmarkEnd w:id="64"/>
      <w:bookmarkEnd w:id="65"/>
      <w:r>
        <w:rPr>
          <w:rFonts w:hint="eastAsia"/>
          <w:sz w:val="24"/>
          <w:szCs w:val="24"/>
        </w:rPr>
        <w:t>，甲方不得摘抄、引用估价报告的内容或者将估价报告的内容披露于公开媒体。</w:t>
      </w:r>
      <w:bookmarkEnd w:id="58"/>
      <w:bookmarkEnd w:id="59"/>
    </w:p>
    <w:bookmarkEnd w:id="53"/>
    <w:bookmarkEnd w:id="54"/>
    <w:bookmarkEnd w:id="55"/>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乙方权利与义务</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6" w:name="OLE_LINK166"/>
      <w:bookmarkStart w:id="67" w:name="OLE_LINK167"/>
      <w:bookmarkStart w:id="68" w:name="OLE_LINK180"/>
      <w:r>
        <w:rPr>
          <w:rFonts w:hint="eastAsia" w:ascii="宋体" w:hAnsi="宋体" w:cs="宋体"/>
          <w:sz w:val="24"/>
          <w:szCs w:val="24"/>
        </w:rPr>
        <w:t>，但因法律规定或国家有权机关要求或非因乙方原因导致信息公开的除外</w:t>
      </w:r>
      <w:bookmarkEnd w:id="66"/>
      <w:bookmarkEnd w:id="67"/>
      <w:bookmarkEnd w:id="68"/>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bookmarkStart w:id="69" w:name="OLE_LINK187"/>
      <w:bookmarkStart w:id="70" w:name="OLE_LINK194"/>
      <w:bookmarkStart w:id="71" w:name="OLE_LINK185"/>
      <w:bookmarkStart w:id="72" w:name="OLE_LINK186"/>
      <w:bookmarkStart w:id="73" w:name="OLE_LINK190"/>
      <w:bookmarkStart w:id="74" w:name="OLE_LINK193"/>
      <w:bookmarkStart w:id="75" w:name="OLE_LINK189"/>
      <w:bookmarkStart w:id="76" w:name="OLE_LINK198"/>
      <w:bookmarkStart w:id="77" w:name="OLE_LINK192"/>
      <w:bookmarkStart w:id="78" w:name="OLE_LINK197"/>
      <w:bookmarkStart w:id="79" w:name="OLE_LINK188"/>
      <w:bookmarkStart w:id="80" w:name="OLE_LINK191"/>
      <w:bookmarkStart w:id="81" w:name="OLE_LINK182"/>
      <w:bookmarkStart w:id="82" w:name="OLE_LINK181"/>
      <w:r>
        <w:rPr>
          <w:rFonts w:hint="eastAsia"/>
          <w:sz w:val="24"/>
          <w:szCs w:val="24"/>
        </w:rPr>
        <w:t>乙方接受委托后，如</w:t>
      </w:r>
      <w:bookmarkStart w:id="83" w:name="OLE_LINK184"/>
      <w:bookmarkStart w:id="84" w:name="OLE_LINK183"/>
      <w:r>
        <w:rPr>
          <w:rFonts w:hint="eastAsia"/>
          <w:sz w:val="24"/>
          <w:szCs w:val="24"/>
        </w:rPr>
        <w:t>发现</w:t>
      </w:r>
      <w:bookmarkEnd w:id="83"/>
      <w:bookmarkEnd w:id="84"/>
      <w:r>
        <w:rPr>
          <w:rFonts w:hint="eastAsia"/>
          <w:sz w:val="24"/>
          <w:szCs w:val="24"/>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pPr>
        <w:tabs>
          <w:tab w:val="left" w:pos="720"/>
        </w:tabs>
        <w:spacing w:before="62" w:beforeLines="20" w:after="62" w:afterLines="20" w:line="360" w:lineRule="auto"/>
        <w:ind w:firstLine="480" w:firstLineChars="200"/>
        <w:outlineLvl w:val="0"/>
        <w:rPr>
          <w:rFonts w:ascii="宋体" w:hAnsi="宋体" w:cs="宋体"/>
          <w:sz w:val="24"/>
          <w:szCs w:val="24"/>
        </w:rPr>
      </w:pPr>
      <w:r>
        <w:rPr>
          <w:rFonts w:hint="eastAsia" w:ascii="宋体" w:hAnsi="宋体" w:cs="宋体"/>
          <w:sz w:val="24"/>
          <w:szCs w:val="24"/>
        </w:rPr>
        <w:t>5.如</w:t>
      </w:r>
      <w:bookmarkEnd w:id="81"/>
      <w:bookmarkEnd w:id="82"/>
      <w:r>
        <w:rPr>
          <w:rFonts w:hint="eastAsia" w:ascii="宋体" w:hAnsi="宋体" w:cs="宋体"/>
          <w:sz w:val="24"/>
          <w:szCs w:val="24"/>
        </w:rPr>
        <w:t>有上述九（一）3.情形，乙方应在收到甲方复估或重估书面申请后十个工作日内完成复估或重估报告书，交付甲方。</w:t>
      </w:r>
    </w:p>
    <w:p>
      <w:pPr>
        <w:tabs>
          <w:tab w:val="left" w:pos="720"/>
        </w:tabs>
        <w:spacing w:before="62" w:beforeLines="20" w:after="62" w:afterLines="20" w:line="400" w:lineRule="exact"/>
        <w:ind w:firstLine="482" w:firstLineChars="200"/>
        <w:rPr>
          <w:rFonts w:ascii="宋体"/>
          <w:b/>
          <w:bCs/>
          <w:sz w:val="24"/>
          <w:szCs w:val="24"/>
        </w:rPr>
      </w:pPr>
      <w:bookmarkStart w:id="85" w:name="OLE_LINK1"/>
      <w:bookmarkEnd w:id="85"/>
    </w:p>
    <w:p>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pPr>
        <w:tabs>
          <w:tab w:val="left" w:pos="720"/>
        </w:tabs>
        <w:spacing w:before="62" w:beforeLines="20" w:after="62" w:afterLines="20" w:line="360" w:lineRule="auto"/>
        <w:ind w:firstLine="480" w:firstLineChars="200"/>
        <w:rPr>
          <w:rFonts w:ascii="宋体"/>
          <w:bCs/>
          <w:sz w:val="24"/>
          <w:szCs w:val="24"/>
        </w:rPr>
      </w:pPr>
      <w:bookmarkStart w:id="86" w:name="OLE_LINK355"/>
      <w:bookmarkStart w:id="87" w:name="OLE_LINK354"/>
      <w:r>
        <w:rPr>
          <w:rFonts w:hint="eastAsia" w:ascii="宋体"/>
          <w:bCs/>
          <w:sz w:val="24"/>
          <w:szCs w:val="24"/>
        </w:rPr>
        <w:t>本合同履行过程中，如发生《中华人民共和国民法典》《中华人民共和国资产评估法》中允许变更或解除合同的情况，双方应依法或依约定变更或解除合同。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6"/>
      <w:bookmarkEnd w:id="87"/>
      <w:r>
        <w:rPr>
          <w:rFonts w:hint="eastAsia" w:ascii="宋体"/>
          <w:bCs/>
          <w:sz w:val="24"/>
          <w:szCs w:val="24"/>
        </w:rPr>
        <w:t xml:space="preserve">签订合同。补充合同或者新的合同未达成前，本合同仍然有效。   </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pPr>
        <w:tabs>
          <w:tab w:val="left" w:pos="720"/>
        </w:tabs>
        <w:spacing w:before="62" w:beforeLines="20" w:after="62" w:afterLines="20" w:line="400" w:lineRule="exact"/>
        <w:ind w:firstLine="482" w:firstLineChars="200"/>
        <w:rPr>
          <w:rFonts w:ascii="宋体" w:hAnsi="宋体" w:cs="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8" w:name="OLE_LINK204"/>
      <w:bookmarkStart w:id="89" w:name="OLE_LINK205"/>
      <w:r>
        <w:rPr>
          <w:rFonts w:hint="eastAsia" w:ascii="宋体" w:hAnsi="宋体" w:cs="宋体"/>
          <w:b/>
          <w:bCs/>
          <w:sz w:val="24"/>
          <w:szCs w:val="24"/>
        </w:rPr>
        <w:t>一、</w:t>
      </w:r>
      <w:bookmarkEnd w:id="88"/>
      <w:bookmarkEnd w:id="89"/>
      <w:r>
        <w:rPr>
          <w:rFonts w:hint="eastAsia" w:ascii="宋体" w:hAnsi="宋体" w:cs="宋体"/>
          <w:b/>
          <w:bCs/>
          <w:sz w:val="24"/>
          <w:szCs w:val="24"/>
        </w:rPr>
        <w:t>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90" w:name="OLE_LINK245"/>
      <w:bookmarkStart w:id="91" w:name="OLE_LINK246"/>
      <w:r>
        <w:rPr>
          <w:rFonts w:hint="eastAsia" w:ascii="宋体" w:hAnsi="宋体" w:cs="宋体"/>
          <w:sz w:val="24"/>
          <w:szCs w:val="24"/>
        </w:rPr>
        <w:t>甲方</w:t>
      </w:r>
      <w:bookmarkEnd w:id="90"/>
      <w:bookmarkEnd w:id="91"/>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92" w:name="OLE_LINK252"/>
      <w:bookmarkStart w:id="93" w:name="OLE_LINK253"/>
      <w:bookmarkStart w:id="94" w:name="OLE_LINK250"/>
      <w:bookmarkStart w:id="95" w:name="OLE_LINK249"/>
      <w:r>
        <w:rPr>
          <w:rFonts w:hint="eastAsia" w:ascii="宋体" w:hAnsi="宋体" w:cs="宋体"/>
          <w:sz w:val="24"/>
          <w:szCs w:val="24"/>
        </w:rPr>
        <w:t>，</w:t>
      </w:r>
      <w:r>
        <w:rPr>
          <w:rFonts w:hint="eastAsia"/>
          <w:sz w:val="24"/>
          <w:szCs w:val="24"/>
        </w:rPr>
        <w:t>逾期</w:t>
      </w:r>
      <w:bookmarkEnd w:id="92"/>
      <w:bookmarkEnd w:id="93"/>
      <w:r>
        <w:rPr>
          <w:rFonts w:hint="eastAsia"/>
          <w:sz w:val="24"/>
          <w:szCs w:val="24"/>
        </w:rPr>
        <w:t>违约金以甲方已支付的评估服务</w:t>
      </w:r>
      <w:bookmarkStart w:id="96" w:name="OLE_LINK247"/>
      <w:bookmarkStart w:id="97" w:name="OLE_LINK248"/>
      <w:r>
        <w:rPr>
          <w:rFonts w:hint="eastAsia"/>
          <w:sz w:val="24"/>
          <w:szCs w:val="24"/>
        </w:rPr>
        <w:t>费为限</w:t>
      </w:r>
      <w:bookmarkEnd w:id="96"/>
      <w:bookmarkEnd w:id="97"/>
      <w:r>
        <w:rPr>
          <w:rFonts w:hint="eastAsia"/>
          <w:sz w:val="24"/>
          <w:szCs w:val="24"/>
        </w:rPr>
        <w:t>。</w:t>
      </w:r>
      <w:bookmarkEnd w:id="94"/>
      <w:bookmarkEnd w:id="95"/>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8" w:name="OLE_LINK271"/>
      <w:bookmarkStart w:id="99" w:name="OLE_LINK270"/>
      <w:r>
        <w:rPr>
          <w:rFonts w:hint="eastAsia" w:ascii="宋体" w:hAnsi="宋体" w:cs="宋体"/>
          <w:sz w:val="24"/>
          <w:szCs w:val="24"/>
        </w:rPr>
        <w:t>.</w:t>
      </w:r>
      <w:bookmarkStart w:id="100" w:name="OLE_LINK262"/>
      <w:bookmarkStart w:id="101" w:name="OLE_LINK261"/>
      <w:r>
        <w:rPr>
          <w:rFonts w:ascii="宋体"/>
          <w:sz w:val="24"/>
          <w:szCs w:val="24"/>
        </w:rPr>
        <w:t xml:space="preserve"> </w:t>
      </w:r>
      <w:bookmarkEnd w:id="98"/>
      <w:bookmarkEnd w:id="99"/>
      <w:bookmarkStart w:id="102" w:name="OLE_LINK259"/>
      <w:bookmarkStart w:id="103" w:name="OLE_LINK267"/>
      <w:bookmarkStart w:id="104" w:name="OLE_LINK258"/>
      <w:bookmarkStart w:id="105" w:name="OLE_LINK260"/>
      <w:bookmarkStart w:id="106" w:name="OLE_LINK266"/>
      <w:bookmarkStart w:id="107" w:name="OLE_LINK269"/>
      <w:bookmarkStart w:id="108" w:name="OLE_LINK268"/>
      <w:r>
        <w:rPr>
          <w:rFonts w:hint="eastAsia"/>
          <w:sz w:val="24"/>
          <w:szCs w:val="24"/>
        </w:rPr>
        <w:t>任何</w:t>
      </w:r>
      <w:bookmarkStart w:id="109" w:name="OLE_LINK257"/>
      <w:bookmarkStart w:id="110" w:name="OLE_LINK256"/>
      <w:r>
        <w:rPr>
          <w:rFonts w:hint="eastAsia"/>
          <w:sz w:val="24"/>
          <w:szCs w:val="24"/>
        </w:rPr>
        <w:t>一方</w:t>
      </w:r>
      <w:bookmarkEnd w:id="109"/>
      <w:bookmarkEnd w:id="110"/>
      <w:r>
        <w:rPr>
          <w:rFonts w:hint="eastAsia"/>
          <w:sz w:val="24"/>
          <w:szCs w:val="24"/>
        </w:rPr>
        <w:t>在履行期限届至前明确表示或以自己的行为表明将不履行合同义务，对方</w:t>
      </w:r>
      <w:bookmarkStart w:id="111" w:name="OLE_LINK265"/>
      <w:bookmarkStart w:id="112" w:name="OLE_LINK264"/>
      <w:r>
        <w:rPr>
          <w:rFonts w:hint="eastAsia"/>
          <w:sz w:val="24"/>
          <w:szCs w:val="24"/>
        </w:rPr>
        <w:t>可以</w:t>
      </w:r>
      <w:bookmarkEnd w:id="111"/>
      <w:bookmarkEnd w:id="112"/>
      <w:r>
        <w:rPr>
          <w:rFonts w:hint="eastAsia"/>
          <w:sz w:val="24"/>
          <w:szCs w:val="24"/>
        </w:rPr>
        <w:t>要求以本合同项下的评估服务费为限承担违约责任。</w:t>
      </w:r>
      <w:bookmarkEnd w:id="102"/>
      <w:bookmarkEnd w:id="103"/>
      <w:bookmarkEnd w:id="104"/>
      <w:bookmarkEnd w:id="105"/>
      <w:bookmarkEnd w:id="106"/>
    </w:p>
    <w:bookmarkEnd w:id="100"/>
    <w:bookmarkEnd w:id="101"/>
    <w:bookmarkEnd w:id="107"/>
    <w:bookmarkEnd w:id="108"/>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pPr>
        <w:tabs>
          <w:tab w:val="left" w:pos="720"/>
        </w:tabs>
        <w:spacing w:before="62" w:beforeLines="20" w:after="62" w:afterLines="20" w:line="400" w:lineRule="exact"/>
        <w:ind w:firstLine="480" w:firstLineChars="200"/>
        <w:rPr>
          <w:rFonts w:hint="eastAsia" w:ascii="宋体"/>
          <w:bCs/>
          <w:sz w:val="24"/>
          <w:szCs w:val="24"/>
        </w:rPr>
      </w:pPr>
      <w:r>
        <w:rPr>
          <w:rFonts w:hint="eastAsia" w:ascii="宋体"/>
          <w:bCs/>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pPr>
        <w:tabs>
          <w:tab w:val="left" w:pos="720"/>
        </w:tabs>
        <w:spacing w:before="62" w:beforeLines="20" w:after="62" w:afterLines="20" w:line="400" w:lineRule="exact"/>
        <w:ind w:firstLine="480" w:firstLineChars="200"/>
        <w:rPr>
          <w:rFonts w:hint="eastAsia" w:ascii="宋体"/>
          <w:bCs/>
          <w:sz w:val="24"/>
          <w:szCs w:val="24"/>
        </w:rPr>
      </w:pPr>
      <w:r>
        <w:rPr>
          <w:rFonts w:hint="eastAsia" w:ascii="宋体"/>
          <w:bCs/>
          <w:sz w:val="24"/>
          <w:szCs w:val="24"/>
        </w:rPr>
        <w:t>凡因本合同或与本合同有关的一切争议，甲、乙双方应友好协商解决；协商不成的，任何一方均有权人民法院提起诉讼，接受第一立案法院管辖。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0" w:firstLineChars="200"/>
        <w:rPr>
          <w:rFonts w:ascii="宋体" w:hAnsi="宋体" w:cs="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陆</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肆</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份，具有同等法律效力。</w:t>
      </w: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bookmarkStart w:id="113" w:name="OLE_LINK277"/>
      <w:bookmarkStart w:id="114" w:name="OLE_LINK278"/>
      <w:r>
        <w:rPr>
          <w:rFonts w:hint="eastAsia" w:ascii="宋体" w:hAnsi="宋体" w:cs="宋体"/>
          <w:sz w:val="24"/>
          <w:szCs w:val="24"/>
        </w:rPr>
        <w:t xml:space="preserve"> </w:t>
      </w:r>
      <w:bookmarkEnd w:id="113"/>
      <w:bookmarkEnd w:id="114"/>
      <w:r>
        <w:rPr>
          <w:rFonts w:hint="eastAsia" w:ascii="宋体" w:hAnsi="宋体" w:cs="宋体"/>
          <w:sz w:val="24"/>
          <w:szCs w:val="24"/>
        </w:rPr>
        <w:t>乙方出具的估价报告书一般为中文文本壹式</w:t>
      </w:r>
      <w:bookmarkStart w:id="115" w:name="OLE_LINK361"/>
      <w:bookmarkStart w:id="116" w:name="OLE_LINK360"/>
      <w:r>
        <w:rPr>
          <w:rFonts w:hint="eastAsia" w:ascii="宋体" w:hAnsi="宋体" w:cs="宋体"/>
          <w:sz w:val="24"/>
          <w:szCs w:val="24"/>
          <w:u w:val="single"/>
        </w:rPr>
        <w:t xml:space="preserve">  叁  </w:t>
      </w:r>
      <w:bookmarkEnd w:id="115"/>
      <w:bookmarkEnd w:id="116"/>
      <w:r>
        <w:rPr>
          <w:rFonts w:hint="eastAsia" w:ascii="宋体" w:hAnsi="宋体" w:cs="宋体"/>
          <w:sz w:val="24"/>
          <w:szCs w:val="24"/>
        </w:rPr>
        <w:t>份。如需翻译成其他语言形式，翻译费由甲方承担并增加报告工本费。</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2.未尽事宜，由甲乙双方协商解决。可增订补充合同，补充合同与前所述条款发生冲突时，以补充合同为准。</w:t>
      </w:r>
    </w:p>
    <w:p>
      <w:pPr>
        <w:pStyle w:val="2"/>
      </w:pPr>
    </w:p>
    <w:p>
      <w:pPr>
        <w:pStyle w:val="2"/>
      </w:pPr>
      <w:r>
        <w:rPr>
          <w:rFonts w:hint="eastAsia"/>
        </w:rPr>
        <w:t>附件1：《工程建设项目廉政责任书》</w:t>
      </w:r>
    </w:p>
    <w:p>
      <w:pPr>
        <w:pStyle w:val="2"/>
      </w:pPr>
      <w:r>
        <w:rPr>
          <w:rFonts w:hint="eastAsia"/>
        </w:rPr>
        <w:t>附件2：《承诺书》</w:t>
      </w:r>
    </w:p>
    <w:p>
      <w:pPr>
        <w:pStyle w:val="2"/>
      </w:pPr>
      <w:r>
        <w:rPr>
          <w:rFonts w:hint="eastAsia"/>
        </w:rPr>
        <w:t>附件3：《报价书》</w:t>
      </w:r>
    </w:p>
    <w:p>
      <w:pPr>
        <w:pStyle w:val="2"/>
      </w:pPr>
    </w:p>
    <w:p>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pPr>
        <w:spacing w:line="480" w:lineRule="auto"/>
        <w:ind w:right="108"/>
        <w:rPr>
          <w:rFonts w:cs="宋体"/>
          <w:sz w:val="24"/>
          <w:szCs w:val="24"/>
        </w:rPr>
      </w:pPr>
      <w:bookmarkStart w:id="117" w:name="OLE_LINK365"/>
      <w:bookmarkStart w:id="118" w:name="OLE_LINK364"/>
    </w:p>
    <w:p>
      <w:pPr>
        <w:spacing w:line="480" w:lineRule="auto"/>
        <w:ind w:right="108"/>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7"/>
      <w:bookmarkEnd w:id="118"/>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pPr>
        <w:spacing w:line="480" w:lineRule="auto"/>
        <w:ind w:right="108" w:firstLine="493"/>
        <w:rPr>
          <w:sz w:val="24"/>
          <w:szCs w:val="24"/>
        </w:rPr>
      </w:pPr>
      <w:r>
        <w:rPr>
          <w:sz w:val="24"/>
          <w:szCs w:val="24"/>
        </w:rPr>
        <w:t xml:space="preserve"> </w:t>
      </w:r>
      <w:bookmarkStart w:id="119" w:name="OLE_LINK369"/>
      <w:bookmarkStart w:id="120"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9"/>
      <w:bookmarkEnd w:id="120"/>
      <w:r>
        <w:rPr>
          <w:sz w:val="24"/>
          <w:szCs w:val="24"/>
        </w:rPr>
        <w:t xml:space="preserve">   </w:t>
      </w:r>
      <w:r>
        <w:rPr>
          <w:rFonts w:hint="eastAsia"/>
          <w:sz w:val="24"/>
          <w:szCs w:val="24"/>
        </w:rPr>
        <w:t xml:space="preserve">                         年   月   日            </w:t>
      </w:r>
    </w:p>
    <w:p>
      <w:pPr>
        <w:spacing w:line="560" w:lineRule="exact"/>
        <w:rPr>
          <w:rFonts w:hint="eastAsia"/>
          <w:sz w:val="24"/>
          <w:szCs w:val="24"/>
        </w:rPr>
      </w:pPr>
      <w:r>
        <w:rPr>
          <w:rFonts w:hint="eastAsia"/>
          <w:sz w:val="24"/>
          <w:szCs w:val="24"/>
        </w:rPr>
        <w:t xml:space="preserve"> </w:t>
      </w:r>
    </w:p>
    <w:p>
      <w:pPr>
        <w:spacing w:line="560" w:lineRule="exact"/>
      </w:pPr>
      <w:r>
        <w:rPr>
          <w:rFonts w:hint="eastAsia"/>
          <w:sz w:val="24"/>
          <w:szCs w:val="24"/>
        </w:rPr>
        <w:t xml:space="preserve"> </w:t>
      </w:r>
      <w:r>
        <w:rPr>
          <w:rFonts w:hint="eastAsia"/>
        </w:rPr>
        <w:t>附见1：工程建设项目廉政责任书</w:t>
      </w:r>
    </w:p>
    <w:p/>
    <w:p>
      <w:pPr>
        <w:snapToGrid w:val="0"/>
        <w:spacing w:line="56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廉洁共建协议书</w:t>
      </w:r>
    </w:p>
    <w:p>
      <w:pPr>
        <w:pStyle w:val="2"/>
      </w:pPr>
    </w:p>
    <w:p>
      <w:pPr>
        <w:snapToGrid w:val="0"/>
        <w:spacing w:line="360" w:lineRule="auto"/>
        <w:rPr>
          <w:rFonts w:ascii="宋体" w:hAnsi="宋体" w:cs="宋体"/>
        </w:rPr>
      </w:pPr>
      <w:r>
        <w:rPr>
          <w:rFonts w:hint="eastAsia" w:ascii="宋体" w:hAnsi="宋体" w:cs="宋体"/>
        </w:rPr>
        <w:t>项目名称：北京市密云区水源路南侧C-2地块土地一级开发项目MY00-0105-6038、6040地块R2二类居住用地项目</w:t>
      </w:r>
    </w:p>
    <w:p>
      <w:pPr>
        <w:snapToGrid w:val="0"/>
        <w:spacing w:line="360" w:lineRule="auto"/>
        <w:rPr>
          <w:rFonts w:ascii="宋体" w:hAnsi="宋体" w:cs="宋体"/>
        </w:rPr>
      </w:pPr>
      <w:r>
        <w:rPr>
          <w:rFonts w:hint="eastAsia" w:ascii="宋体" w:hAnsi="宋体" w:cs="宋体"/>
        </w:rPr>
        <w:t>委托方（甲方）：</w:t>
      </w:r>
      <w:r>
        <w:rPr>
          <w:rFonts w:hint="eastAsia" w:ascii="宋体" w:hAnsi="宋体" w:cs="宋体"/>
          <w:u w:val="single"/>
        </w:rPr>
        <w:t xml:space="preserve">北京祥业房地产有限公司  </w:t>
      </w:r>
      <w:r>
        <w:rPr>
          <w:rFonts w:hint="eastAsia" w:ascii="宋体" w:hAnsi="宋体" w:cs="宋体"/>
        </w:rPr>
        <w:t xml:space="preserve">  </w:t>
      </w:r>
    </w:p>
    <w:p>
      <w:pPr>
        <w:snapToGrid w:val="0"/>
        <w:spacing w:line="360" w:lineRule="auto"/>
        <w:rPr>
          <w:rFonts w:ascii="宋体" w:hAnsi="宋体" w:cs="宋体"/>
        </w:rPr>
      </w:pPr>
      <w:r>
        <w:rPr>
          <w:rFonts w:hint="eastAsia" w:ascii="宋体" w:hAnsi="宋体" w:cs="宋体"/>
        </w:rPr>
        <w:t>受托方（乙方）：</w:t>
      </w:r>
      <w:r>
        <w:rPr>
          <w:rFonts w:hint="eastAsia" w:ascii="宋体" w:hAnsi="宋体" w:cs="宋体"/>
          <w:u w:val="single"/>
        </w:rPr>
        <w:t xml:space="preserve">北京康正宏基房地产评估有限公司  </w:t>
      </w:r>
    </w:p>
    <w:p>
      <w:pPr>
        <w:snapToGrid w:val="0"/>
        <w:spacing w:line="360" w:lineRule="auto"/>
        <w:ind w:firstLine="420" w:firstLineChars="200"/>
        <w:rPr>
          <w:rFonts w:ascii="宋体" w:hAnsi="宋体" w:cs="宋体"/>
        </w:rPr>
      </w:pPr>
      <w:r>
        <w:rPr>
          <w:rFonts w:hint="eastAsia" w:ascii="宋体" w:hAnsi="宋体" w:cs="宋体"/>
        </w:rPr>
        <w:t>为深入贯彻党的二十大精神，认真落实中央八项规定及其实施细则精神，督促引导管理人员不断筑牢思想防线，强化纪律意识和规矩意识，规范工作中甲乙双方的业务活动，秉公用权、廉洁从业，防止发生各种谋取不正当利益的违法违纪行为，保护国家、集体和当事人的合法权益，特订立本廉洁共建协议书。</w:t>
      </w:r>
    </w:p>
    <w:p>
      <w:pPr>
        <w:snapToGrid w:val="0"/>
        <w:spacing w:line="360" w:lineRule="auto"/>
        <w:ind w:firstLine="422" w:firstLineChars="200"/>
        <w:rPr>
          <w:rFonts w:ascii="宋体" w:hAnsi="宋体" w:cs="宋体"/>
          <w:b/>
          <w:bCs/>
        </w:rPr>
      </w:pPr>
      <w:r>
        <w:rPr>
          <w:rFonts w:hint="eastAsia" w:ascii="宋体" w:hAnsi="宋体" w:cs="宋体"/>
          <w:b/>
          <w:bCs/>
        </w:rPr>
        <w:t>一、双方共同廉洁责任</w:t>
      </w:r>
    </w:p>
    <w:p>
      <w:pPr>
        <w:snapToGrid w:val="0"/>
        <w:spacing w:line="360" w:lineRule="auto"/>
        <w:ind w:firstLine="420" w:firstLineChars="200"/>
        <w:rPr>
          <w:rFonts w:ascii="宋体" w:hAnsi="宋体" w:cs="宋体"/>
        </w:rPr>
      </w:pPr>
      <w:r>
        <w:rPr>
          <w:rFonts w:hint="eastAsia" w:ascii="宋体" w:hAnsi="宋体" w:cs="宋体"/>
        </w:rPr>
        <w:t>1.严格遵守国家、北京市关于市场准入、项目招标投标、拆迁、施工安装和市场活动的有关法律法规和全面从严治党的各项要求，坚持公平、公正、公开的原则，不得为获取不正当利益而损害国家和企业利益，不得失职渎职。</w:t>
      </w:r>
    </w:p>
    <w:p>
      <w:pPr>
        <w:snapToGrid w:val="0"/>
        <w:spacing w:line="360" w:lineRule="auto"/>
        <w:ind w:firstLine="420" w:firstLineChars="200"/>
        <w:rPr>
          <w:rFonts w:ascii="宋体" w:hAnsi="宋体" w:cs="宋体"/>
        </w:rPr>
      </w:pPr>
      <w:r>
        <w:rPr>
          <w:rFonts w:hint="eastAsia" w:ascii="宋体" w:hAnsi="宋体" w:cs="宋体"/>
        </w:rPr>
        <w:t>2.严格执行合同文件，自觉按协议办事。</w:t>
      </w:r>
    </w:p>
    <w:p>
      <w:pPr>
        <w:pStyle w:val="2"/>
        <w:spacing w:before="0" w:line="360" w:lineRule="auto"/>
        <w:ind w:firstLine="420" w:firstLineChars="200"/>
        <w:rPr>
          <w:rFonts w:ascii="宋体" w:hAnsi="宋体" w:cs="宋体"/>
          <w:sz w:val="21"/>
        </w:rPr>
      </w:pPr>
      <w:r>
        <w:rPr>
          <w:rFonts w:hint="eastAsia" w:ascii="宋体" w:hAnsi="宋体" w:cs="宋体"/>
          <w:sz w:val="21"/>
        </w:rPr>
        <w:t>3.业务活动必须坚持公开、公平、公正、诚信、透明的原则(除法律法规另有规定者外)，不得为获取不正当的利益，损害国家和对方利益，不得违反相关的规章制度。</w:t>
      </w:r>
    </w:p>
    <w:p>
      <w:pPr>
        <w:snapToGrid w:val="0"/>
        <w:spacing w:line="360" w:lineRule="auto"/>
        <w:ind w:firstLine="420" w:firstLineChars="200"/>
        <w:rPr>
          <w:rFonts w:ascii="宋体" w:hAnsi="宋体" w:cs="宋体"/>
        </w:rPr>
      </w:pPr>
      <w:r>
        <w:rPr>
          <w:rFonts w:hint="eastAsia" w:ascii="宋体" w:hAnsi="宋体" w:cs="宋体"/>
        </w:rPr>
        <w:t>4.认真贯彻落实中央八项规定及其实施细则精神，不得在探亲、旅游、公务差旅期间或以朋友聚会为名，违规公款吃喝、违规接受管理和服务对象宴请；不得超标准超范围接待、不按规定缴纳费用；不得以电子红包和快递物流方式“隔空送礼”“隔空收礼”；不得公车私用；不得以权谋私进行权钱交易。</w:t>
      </w:r>
    </w:p>
    <w:p>
      <w:pPr>
        <w:snapToGrid w:val="0"/>
        <w:spacing w:line="360" w:lineRule="auto"/>
        <w:ind w:firstLine="420" w:firstLineChars="200"/>
        <w:rPr>
          <w:rFonts w:ascii="宋体" w:hAnsi="宋体" w:cs="宋体"/>
        </w:rPr>
      </w:pPr>
      <w:r>
        <w:rPr>
          <w:rFonts w:hint="eastAsia" w:ascii="宋体" w:hAnsi="宋体" w:cs="宋体"/>
        </w:rPr>
        <w:t>5.在业务活动中如发现涉嫌违规、违纪、违法行为的苗头性、倾向性问题，应及时进行提醒，并根据实际情况及时向上级主管部门或者纪检监察部门反映。</w:t>
      </w:r>
    </w:p>
    <w:p>
      <w:pPr>
        <w:snapToGrid w:val="0"/>
        <w:spacing w:line="360" w:lineRule="auto"/>
        <w:ind w:firstLine="422" w:firstLineChars="200"/>
        <w:rPr>
          <w:rFonts w:ascii="宋体" w:hAnsi="宋体" w:cs="宋体"/>
          <w:b/>
          <w:bCs/>
        </w:rPr>
      </w:pPr>
      <w:r>
        <w:rPr>
          <w:rFonts w:hint="eastAsia" w:ascii="宋体" w:hAnsi="宋体" w:cs="宋体"/>
          <w:b/>
          <w:bCs/>
        </w:rPr>
        <w:t>二、甲方廉洁责任</w:t>
      </w:r>
    </w:p>
    <w:p>
      <w:pPr>
        <w:snapToGrid w:val="0"/>
        <w:spacing w:line="360" w:lineRule="auto"/>
        <w:ind w:firstLine="420" w:firstLineChars="200"/>
        <w:rPr>
          <w:rFonts w:ascii="宋体" w:hAnsi="宋体" w:cs="宋体"/>
        </w:rPr>
      </w:pPr>
      <w:r>
        <w:rPr>
          <w:rFonts w:hint="eastAsia" w:ascii="宋体" w:hAnsi="宋体" w:cs="宋体"/>
        </w:rPr>
        <w:t>甲方负责人和从事本项目相关工作的管理人员，应与乙方保持正常的业务交往，按照相关法律法规规章和企业（单位）工作规定有序开展业务，遵守以下规定：</w:t>
      </w:r>
    </w:p>
    <w:p>
      <w:pPr>
        <w:snapToGrid w:val="0"/>
        <w:spacing w:line="360" w:lineRule="auto"/>
        <w:ind w:firstLine="420" w:firstLineChars="200"/>
        <w:rPr>
          <w:rFonts w:ascii="宋体" w:hAnsi="宋体" w:cs="宋体"/>
        </w:rPr>
      </w:pPr>
      <w:r>
        <w:rPr>
          <w:rFonts w:hint="eastAsia" w:ascii="宋体" w:hAnsi="宋体" w:cs="宋体"/>
        </w:rPr>
        <w:t>1.不得向乙方和相关单位索要或接受回扣、礼金、有价证券、贵重物品和好处费、感谢费等，不得在乙方和相关单位报销任何应由甲方或个人支付的费用。</w:t>
      </w:r>
    </w:p>
    <w:p>
      <w:pPr>
        <w:snapToGrid w:val="0"/>
        <w:spacing w:line="360" w:lineRule="auto"/>
        <w:ind w:firstLine="420" w:firstLineChars="200"/>
        <w:rPr>
          <w:rFonts w:ascii="宋体" w:hAnsi="宋体" w:cs="宋体"/>
        </w:rPr>
      </w:pPr>
      <w:r>
        <w:rPr>
          <w:rFonts w:hint="eastAsia" w:ascii="宋体" w:hAnsi="宋体" w:cs="宋体"/>
        </w:rPr>
        <w:t>2.不得要求、暗示或接受乙方和相关单位为个人装修住房、婚丧嫁娶、配偶子女的工作安排以及出国（境）、旅游等提供方便。</w:t>
      </w:r>
    </w:p>
    <w:p>
      <w:pPr>
        <w:snapToGrid w:val="0"/>
        <w:spacing w:line="360" w:lineRule="auto"/>
        <w:ind w:firstLine="420" w:firstLineChars="200"/>
        <w:rPr>
          <w:rFonts w:ascii="宋体" w:hAnsi="宋体" w:cs="宋体"/>
        </w:rPr>
      </w:pPr>
      <w:r>
        <w:rPr>
          <w:rFonts w:hint="eastAsia" w:ascii="宋体" w:hAnsi="宋体" w:cs="宋体"/>
        </w:rPr>
        <w:t>3.不得向乙方安排由甲方负责人或管理人员的配偶、子女等特定关系人参与的分包、采购等业务活动，不得为特定关系人谋取不正当利益。</w:t>
      </w:r>
    </w:p>
    <w:p>
      <w:pPr>
        <w:pStyle w:val="2"/>
        <w:spacing w:before="0" w:line="360" w:lineRule="auto"/>
        <w:ind w:firstLine="420" w:firstLineChars="200"/>
        <w:rPr>
          <w:rFonts w:ascii="宋体" w:hAnsi="宋体" w:cs="宋体"/>
          <w:sz w:val="21"/>
        </w:rPr>
      </w:pPr>
      <w:r>
        <w:rPr>
          <w:rFonts w:hint="eastAsia" w:ascii="宋体" w:hAnsi="宋体" w:cs="宋体"/>
          <w:sz w:val="21"/>
        </w:rPr>
        <w:t>4.不得利用职权干预合同签订、款项结算和支付等工作的正常进行。</w:t>
      </w:r>
    </w:p>
    <w:p>
      <w:pPr>
        <w:pStyle w:val="2"/>
        <w:spacing w:before="0" w:line="360" w:lineRule="auto"/>
        <w:ind w:firstLine="420" w:firstLineChars="200"/>
        <w:rPr>
          <w:rFonts w:ascii="宋体" w:hAnsi="宋体" w:cs="宋体"/>
          <w:sz w:val="21"/>
        </w:rPr>
      </w:pPr>
      <w:r>
        <w:rPr>
          <w:rFonts w:hint="eastAsia" w:ascii="宋体" w:hAnsi="宋体" w:cs="宋体"/>
          <w:sz w:val="21"/>
        </w:rPr>
        <w:t>5.不得参加可能影响公正执行公务的乙方和相关单位的宴请、健身、娱乐等活动。</w:t>
      </w:r>
    </w:p>
    <w:p>
      <w:pPr>
        <w:snapToGrid w:val="0"/>
        <w:spacing w:line="360" w:lineRule="auto"/>
        <w:ind w:firstLine="422" w:firstLineChars="200"/>
        <w:rPr>
          <w:rFonts w:ascii="宋体" w:hAnsi="宋体" w:cs="宋体"/>
          <w:b/>
          <w:bCs/>
        </w:rPr>
      </w:pPr>
      <w:r>
        <w:rPr>
          <w:rFonts w:hint="eastAsia" w:ascii="宋体" w:hAnsi="宋体" w:cs="宋体"/>
          <w:b/>
          <w:bCs/>
        </w:rPr>
        <w:t>三、乙方廉洁责任</w:t>
      </w:r>
    </w:p>
    <w:p>
      <w:pPr>
        <w:snapToGrid w:val="0"/>
        <w:spacing w:line="360" w:lineRule="auto"/>
        <w:ind w:firstLine="420" w:firstLineChars="200"/>
        <w:rPr>
          <w:rFonts w:ascii="宋体" w:hAnsi="宋体" w:cs="宋体"/>
        </w:rPr>
      </w:pPr>
      <w:r>
        <w:rPr>
          <w:rFonts w:hint="eastAsia" w:ascii="宋体" w:hAnsi="宋体" w:cs="宋体"/>
        </w:rPr>
        <w:t>乙方负责人和从事本项目相关工作的管理人员，应与甲方保持正常的业务交往，按照相关法律法规规章和企业（单位）工作规定有序开展业务，遵守以下规定：</w:t>
      </w:r>
    </w:p>
    <w:p>
      <w:pPr>
        <w:snapToGrid w:val="0"/>
        <w:spacing w:line="360" w:lineRule="auto"/>
        <w:ind w:firstLine="420" w:firstLineChars="200"/>
        <w:rPr>
          <w:rFonts w:ascii="宋体" w:hAnsi="宋体" w:cs="宋体"/>
        </w:rPr>
      </w:pPr>
      <w:r>
        <w:rPr>
          <w:rFonts w:hint="eastAsia" w:ascii="宋体" w:hAnsi="宋体" w:cs="宋体"/>
        </w:rPr>
        <w:t>1.不得以任何理由向甲方及其工作人员赠送礼金、有价证券、贵重物品、回扣、感谢费等，不得以任何理由为甲方和相关单位及个人报销应由对方或个人支付的费用。</w:t>
      </w:r>
    </w:p>
    <w:p>
      <w:pPr>
        <w:snapToGrid w:val="0"/>
        <w:spacing w:line="360" w:lineRule="auto"/>
        <w:ind w:firstLine="420" w:firstLineChars="200"/>
        <w:rPr>
          <w:rFonts w:ascii="宋体" w:hAnsi="宋体" w:cs="宋体"/>
        </w:rPr>
      </w:pPr>
      <w:r>
        <w:rPr>
          <w:rFonts w:hint="eastAsia" w:ascii="宋体" w:hAnsi="宋体" w:cs="宋体"/>
        </w:rPr>
        <w:t>2.不得为甲方单位、个人或者其他特定关系人在装修住房、婚丧嫁娶、配偶子女的工作安排以及出国（境）、旅游等提供方便。</w:t>
      </w:r>
    </w:p>
    <w:p>
      <w:pPr>
        <w:snapToGrid w:val="0"/>
        <w:spacing w:line="360" w:lineRule="auto"/>
        <w:ind w:firstLine="420" w:firstLineChars="200"/>
        <w:rPr>
          <w:rFonts w:ascii="宋体" w:hAnsi="宋体" w:cs="宋体"/>
        </w:rPr>
      </w:pPr>
      <w:r>
        <w:rPr>
          <w:rFonts w:hint="eastAsia" w:ascii="宋体" w:hAnsi="宋体" w:cs="宋体"/>
        </w:rPr>
        <w:t>3.不得在项目中使用甲方负责人或管理人员的配偶、子女等特定关系人参与的分包、采购等业务活动。</w:t>
      </w:r>
    </w:p>
    <w:p>
      <w:pPr>
        <w:snapToGrid w:val="0"/>
        <w:spacing w:line="360" w:lineRule="auto"/>
        <w:ind w:firstLine="422" w:firstLineChars="200"/>
        <w:rPr>
          <w:rFonts w:ascii="宋体" w:hAnsi="宋体" w:cs="宋体"/>
          <w:b/>
          <w:bCs/>
        </w:rPr>
      </w:pPr>
      <w:r>
        <w:rPr>
          <w:rFonts w:hint="eastAsia" w:ascii="宋体" w:hAnsi="宋体" w:cs="宋体"/>
          <w:b/>
          <w:bCs/>
        </w:rPr>
        <w:t>四、违约责任</w:t>
      </w:r>
    </w:p>
    <w:p>
      <w:pPr>
        <w:snapToGrid w:val="0"/>
        <w:spacing w:line="360" w:lineRule="auto"/>
        <w:ind w:firstLine="420" w:firstLineChars="200"/>
        <w:rPr>
          <w:rFonts w:ascii="宋体" w:hAnsi="宋体" w:cs="宋体"/>
        </w:rPr>
      </w:pPr>
      <w:r>
        <w:rPr>
          <w:rFonts w:hint="eastAsia" w:ascii="宋体" w:hAnsi="宋体" w:cs="宋体"/>
        </w:rPr>
        <w:t>1.甲方工作人员有违反本责任书第一、第二条责任行为的，按照管理权限，依据有关法律法规和规定给予党纪、政务处分；涉嫌犯罪的，移交司法机关追究刑事责任；给乙方单位造成经济损失的，应予以赔偿。</w:t>
      </w:r>
    </w:p>
    <w:p>
      <w:pPr>
        <w:snapToGrid w:val="0"/>
        <w:spacing w:line="360" w:lineRule="auto"/>
        <w:ind w:firstLine="420" w:firstLineChars="200"/>
        <w:rPr>
          <w:rFonts w:ascii="宋体" w:hAnsi="宋体" w:cs="宋体"/>
        </w:rPr>
      </w:pPr>
      <w:r>
        <w:rPr>
          <w:rFonts w:hint="eastAsia" w:ascii="宋体" w:hAnsi="宋体" w:cs="宋体"/>
        </w:rPr>
        <w:t>2.乙方工作人员有违反本责任书第一、第三条责任行为的，按照管理权限，依据有关法律法规和规定给予党纪、政务处分；涉嫌犯罪的，移交司法机关追究刑事责任；给甲方单位造成经济损失的，应予以赔偿。</w:t>
      </w:r>
    </w:p>
    <w:p>
      <w:pPr>
        <w:snapToGrid w:val="0"/>
        <w:spacing w:line="360" w:lineRule="auto"/>
        <w:ind w:firstLine="422" w:firstLineChars="200"/>
        <w:rPr>
          <w:rFonts w:ascii="宋体" w:hAnsi="宋体" w:cs="宋体"/>
          <w:b/>
          <w:bCs/>
        </w:rPr>
      </w:pPr>
      <w:r>
        <w:rPr>
          <w:rFonts w:hint="eastAsia" w:ascii="宋体" w:hAnsi="宋体" w:cs="宋体"/>
          <w:b/>
          <w:bCs/>
        </w:rPr>
        <w:t>五、附则</w:t>
      </w:r>
    </w:p>
    <w:p>
      <w:pPr>
        <w:pStyle w:val="2"/>
        <w:spacing w:before="0" w:line="360" w:lineRule="auto"/>
        <w:ind w:firstLine="640"/>
        <w:rPr>
          <w:rFonts w:ascii="宋体" w:hAnsi="宋体" w:cs="宋体"/>
          <w:sz w:val="21"/>
        </w:rPr>
      </w:pPr>
      <w:r>
        <w:rPr>
          <w:rFonts w:hint="eastAsia" w:ascii="宋体" w:hAnsi="宋体" w:cs="宋体"/>
          <w:sz w:val="21"/>
        </w:rPr>
        <w:t>1.本协议书作为本合同的附件，与本合同具有同等的法律效力，经双方签署后立即生效。</w:t>
      </w:r>
    </w:p>
    <w:p>
      <w:pPr>
        <w:pStyle w:val="2"/>
        <w:spacing w:before="0" w:line="360" w:lineRule="auto"/>
        <w:ind w:firstLine="640"/>
        <w:rPr>
          <w:rFonts w:ascii="宋体" w:hAnsi="宋体" w:cs="宋体"/>
          <w:sz w:val="21"/>
        </w:rPr>
      </w:pPr>
      <w:r>
        <w:rPr>
          <w:rFonts w:hint="eastAsia" w:ascii="宋体" w:hAnsi="宋体" w:cs="宋体"/>
          <w:sz w:val="21"/>
        </w:rPr>
        <w:t>2.本协议书的有效期为双方签署之日起至本合同全部履行完成。</w:t>
      </w:r>
    </w:p>
    <w:p>
      <w:pPr>
        <w:pStyle w:val="2"/>
        <w:spacing w:before="0" w:line="360" w:lineRule="auto"/>
        <w:ind w:firstLine="640"/>
        <w:rPr>
          <w:rFonts w:ascii="宋体" w:hAnsi="宋体" w:cs="宋体"/>
          <w:sz w:val="21"/>
        </w:rPr>
      </w:pPr>
      <w:r>
        <w:rPr>
          <w:rFonts w:hint="eastAsia" w:ascii="宋体" w:hAnsi="宋体" w:cs="宋体"/>
          <w:sz w:val="21"/>
        </w:rPr>
        <w:t>3.本协议书的各级责任人，如调离由其接任人承担协议书中所列相关责任。</w:t>
      </w:r>
    </w:p>
    <w:p>
      <w:pPr>
        <w:pStyle w:val="2"/>
        <w:spacing w:before="0" w:line="360" w:lineRule="auto"/>
        <w:ind w:firstLine="640"/>
        <w:rPr>
          <w:rFonts w:ascii="宋体" w:hAnsi="宋体" w:cs="宋体"/>
          <w:sz w:val="21"/>
        </w:rPr>
      </w:pPr>
      <w:r>
        <w:rPr>
          <w:rFonts w:hint="eastAsia" w:ascii="宋体" w:hAnsi="宋体" w:cs="宋体"/>
          <w:sz w:val="21"/>
        </w:rPr>
        <w:t>4.本协议书一式陆份，甲方执肆份，乙方执贰份，具有同等法律效力。</w:t>
      </w:r>
    </w:p>
    <w:p/>
    <w:p>
      <w:pPr>
        <w:spacing w:line="560" w:lineRule="exact"/>
        <w:rPr>
          <w:rFonts w:ascii="宋体" w:hAnsi="宋体" w:cs="宋体"/>
        </w:rPr>
      </w:pPr>
      <w:r>
        <w:rPr>
          <w:rFonts w:hint="eastAsia" w:ascii="宋体" w:hAnsi="宋体" w:cs="宋体"/>
        </w:rPr>
        <w:t>发包人：(盖章)                               设计人：(盖章)</w:t>
      </w:r>
    </w:p>
    <w:p>
      <w:pPr>
        <w:pStyle w:val="2"/>
        <w:spacing w:before="0" w:line="560" w:lineRule="exact"/>
        <w:rPr>
          <w:rFonts w:ascii="宋体" w:hAnsi="宋体" w:cs="宋体"/>
          <w:sz w:val="21"/>
        </w:rPr>
      </w:pPr>
    </w:p>
    <w:p>
      <w:pPr>
        <w:spacing w:line="560" w:lineRule="exact"/>
        <w:rPr>
          <w:rFonts w:ascii="宋体" w:hAnsi="宋体" w:cs="宋体"/>
        </w:rPr>
      </w:pPr>
      <w:r>
        <w:rPr>
          <w:rFonts w:hint="eastAsia" w:ascii="宋体" w:hAnsi="宋体" w:cs="宋体"/>
        </w:rPr>
        <w:t>法定代表人：（签字或盖章）                        法定代表人：（签字或盖章）</w:t>
      </w:r>
    </w:p>
    <w:p>
      <w:pPr>
        <w:pStyle w:val="2"/>
        <w:rPr>
          <w:lang w:eastAsia="zh-TW"/>
        </w:rPr>
      </w:pPr>
    </w:p>
    <w:p>
      <w:pPr>
        <w:tabs>
          <w:tab w:val="right" w:pos="8306"/>
        </w:tabs>
        <w:spacing w:line="560" w:lineRule="exact"/>
        <w:jc w:val="left"/>
        <w:rPr>
          <w:rFonts w:ascii="宋体" w:hAnsi="宋体" w:cs="宋体"/>
          <w:lang w:eastAsia="zh-TW"/>
        </w:rPr>
      </w:pPr>
      <w:r>
        <w:rPr>
          <w:rFonts w:hint="eastAsia" w:ascii="宋体" w:hAnsi="宋体" w:cs="宋体"/>
        </w:rPr>
        <w:t xml:space="preserve">日  期：    </w:t>
      </w:r>
      <w:r>
        <w:rPr>
          <w:rFonts w:hint="eastAsia" w:ascii="宋体" w:hAnsi="宋体" w:cs="宋体"/>
          <w:lang w:eastAsia="zh-TW"/>
        </w:rPr>
        <w:t>年</w:t>
      </w:r>
      <w:r>
        <w:rPr>
          <w:rFonts w:hint="eastAsia" w:ascii="宋体" w:hAnsi="宋体" w:cs="宋体"/>
        </w:rPr>
        <w:t xml:space="preserve"> </w:t>
      </w:r>
      <w:r>
        <w:rPr>
          <w:rFonts w:hint="eastAsia" w:ascii="宋体" w:hAnsi="宋体" w:cs="宋体"/>
          <w:lang w:eastAsia="zh-TW"/>
        </w:rPr>
        <w:t xml:space="preserve">   月 </w:t>
      </w:r>
      <w:r>
        <w:rPr>
          <w:rFonts w:hint="eastAsia" w:ascii="宋体" w:hAnsi="宋体" w:cs="宋体"/>
        </w:rPr>
        <w:t xml:space="preserve"> </w:t>
      </w:r>
      <w:r>
        <w:rPr>
          <w:rFonts w:hint="eastAsia" w:ascii="宋体" w:hAnsi="宋体" w:cs="宋体"/>
          <w:lang w:eastAsia="zh-TW"/>
        </w:rPr>
        <w:t xml:space="preserve">  日     </w:t>
      </w:r>
      <w:r>
        <w:rPr>
          <w:rFonts w:hint="eastAsia" w:ascii="宋体" w:hAnsi="宋体" w:cs="宋体"/>
        </w:rPr>
        <w:t xml:space="preserve">                    日 期：</w:t>
      </w:r>
      <w:r>
        <w:rPr>
          <w:rFonts w:hint="eastAsia" w:ascii="宋体" w:hAnsi="宋体" w:cs="宋体"/>
          <w:lang w:eastAsia="zh-TW"/>
        </w:rPr>
        <w:t xml:space="preserve">    年  </w:t>
      </w:r>
      <w:r>
        <w:rPr>
          <w:rFonts w:hint="eastAsia" w:ascii="宋体" w:hAnsi="宋体" w:cs="宋体"/>
        </w:rPr>
        <w:t xml:space="preserve"> </w:t>
      </w:r>
      <w:r>
        <w:rPr>
          <w:rFonts w:hint="eastAsia" w:ascii="宋体" w:hAnsi="宋体" w:cs="宋体"/>
          <w:lang w:eastAsia="zh-TW"/>
        </w:rPr>
        <w:t xml:space="preserve"> 月   </w:t>
      </w:r>
      <w:r>
        <w:rPr>
          <w:rFonts w:hint="eastAsia" w:ascii="宋体" w:hAnsi="宋体" w:cs="宋体"/>
        </w:rPr>
        <w:t xml:space="preserve"> </w:t>
      </w:r>
      <w:r>
        <w:rPr>
          <w:rFonts w:hint="eastAsia" w:ascii="宋体" w:hAnsi="宋体" w:cs="宋体"/>
          <w:lang w:eastAsia="zh-TW"/>
        </w:rPr>
        <w:t>日</w:t>
      </w:r>
    </w:p>
    <w:p>
      <w:pPr>
        <w:pStyle w:val="2"/>
        <w:rPr>
          <w:rFonts w:ascii="宋体" w:hAnsi="宋体" w:cs="宋体"/>
          <w:sz w:val="21"/>
          <w:lang w:eastAsia="zh-TW"/>
        </w:rPr>
      </w:pPr>
    </w:p>
    <w:p>
      <w:pPr>
        <w:outlineLvl w:val="2"/>
        <w:rPr>
          <w:spacing w:val="8"/>
          <w:kern w:val="0"/>
          <w:sz w:val="22"/>
          <w:szCs w:val="22"/>
        </w:rPr>
      </w:pPr>
    </w:p>
    <w:p>
      <w:pPr>
        <w:outlineLvl w:val="2"/>
      </w:pPr>
      <w:r>
        <w:rPr>
          <w:rFonts w:hint="eastAsia"/>
          <w:spacing w:val="8"/>
          <w:kern w:val="0"/>
          <w:sz w:val="22"/>
          <w:szCs w:val="22"/>
        </w:rPr>
        <w:t>附见2：承诺书</w:t>
      </w:r>
    </w:p>
    <w:p>
      <w:pPr>
        <w:widowControl/>
        <w:jc w:val="center"/>
        <w:rPr>
          <w:b/>
          <w:bCs/>
          <w:spacing w:val="8"/>
          <w:kern w:val="0"/>
          <w:sz w:val="32"/>
          <w:szCs w:val="32"/>
        </w:rPr>
      </w:pPr>
      <w:bookmarkStart w:id="121" w:name="_Toc7873_WPSOffice_Level1"/>
      <w:r>
        <w:rPr>
          <w:rFonts w:hint="eastAsia"/>
          <w:b/>
          <w:bCs/>
          <w:spacing w:val="8"/>
          <w:kern w:val="0"/>
          <w:sz w:val="32"/>
          <w:szCs w:val="32"/>
        </w:rPr>
        <w:t>承诺书</w:t>
      </w:r>
      <w:bookmarkEnd w:id="121"/>
    </w:p>
    <w:p>
      <w:pPr>
        <w:widowControl/>
        <w:jc w:val="center"/>
        <w:rPr>
          <w:b/>
          <w:bCs/>
          <w:spacing w:val="8"/>
          <w:kern w:val="0"/>
          <w:sz w:val="32"/>
          <w:szCs w:val="32"/>
        </w:rPr>
      </w:pP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我公司全面了解了贵公司“严格限制集团公司及各事业部、分公司、全资子公司、控股子公司员工投资关联关系企业；禁止上述员工投资与北京城建集团有限责任公司（以下简称“城建集团”）及其各事业部、分公司、全资子公司、控股子公司有业务关联的企业；禁止上述员工投资与城建集团及其各事业部、分公司、全资子公司、控股子公司经营同类业务的企业。禁止集团公司及各事业部、分公司、全资子公司、控股子公司领导班子成员及对国有资产负有经营管理责任的其他人员经商办企业，禁止前述人员离职、退休三年以内，在与原任职企业有业务关系的私营企业、外资企业和中介机构担任职务、投资入股，或者在上述企业或者机构从事、代理与原任职企业经营业务相关的经营活动。</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与城建集团无股权关系的相对方或相对方的法定代表人、股东、实际控制人、高级管理人员等人员不得为集团公司及各事业部、分公司、全资子公司、控股子公司员工及其配偶、子女、近亲属以及有其他共同利益关系的人。”的规定，保证在与贵公司合作期间不存在上述情形。</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如我公司违反本承诺书的相关内容或作出不实的承诺，我公司认可并自愿承担如下后果：</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1、如贵公司需终止与我公司的合作、解除已签订的相关合同，我公司无条件接受并全力配合完成相关文件的签认。</w:t>
      </w:r>
    </w:p>
    <w:p>
      <w:pPr>
        <w:pStyle w:val="14"/>
        <w:widowControl w:val="0"/>
        <w:spacing w:line="360" w:lineRule="auto"/>
        <w:ind w:firstLine="440" w:firstLineChars="200"/>
        <w:jc w:val="both"/>
        <w:rPr>
          <w:rFonts w:hint="default" w:ascii="宋体" w:hAnsi="宋体" w:eastAsia="宋体" w:cs="宋体"/>
          <w:kern w:val="2"/>
          <w:sz w:val="22"/>
          <w:szCs w:val="22"/>
        </w:rPr>
      </w:pPr>
      <w:r>
        <w:rPr>
          <w:rFonts w:ascii="宋体" w:hAnsi="宋体" w:eastAsia="宋体" w:cs="宋体"/>
          <w:kern w:val="2"/>
          <w:sz w:val="22"/>
          <w:szCs w:val="22"/>
        </w:rPr>
        <w:t>2、因合作终止我公司遭受的损失，我公司自行承担，给贵公司造成的损失，我公司全额赔偿,并向贵公司支付合同额20%的违约金。</w:t>
      </w:r>
    </w:p>
    <w:p>
      <w:pPr>
        <w:pStyle w:val="14"/>
        <w:widowControl w:val="0"/>
        <w:spacing w:line="360" w:lineRule="auto"/>
        <w:ind w:firstLine="440" w:firstLineChars="200"/>
        <w:jc w:val="both"/>
        <w:rPr>
          <w:rFonts w:hint="default" w:ascii="宋体" w:hAnsi="宋体" w:eastAsia="宋体" w:cs="宋体"/>
          <w:kern w:val="2"/>
          <w:sz w:val="22"/>
          <w:szCs w:val="22"/>
        </w:rPr>
      </w:pPr>
    </w:p>
    <w:p>
      <w:pPr>
        <w:pStyle w:val="14"/>
        <w:widowControl w:val="0"/>
        <w:spacing w:line="360" w:lineRule="auto"/>
        <w:ind w:firstLine="440" w:firstLineChars="200"/>
        <w:jc w:val="both"/>
        <w:rPr>
          <w:rFonts w:hint="default" w:ascii="宋体" w:hAnsi="宋体" w:eastAsia="宋体" w:cs="宋体"/>
          <w:kern w:val="2"/>
          <w:sz w:val="22"/>
          <w:szCs w:val="22"/>
        </w:rPr>
      </w:pPr>
    </w:p>
    <w:p>
      <w:pPr>
        <w:pStyle w:val="14"/>
        <w:widowControl w:val="0"/>
        <w:spacing w:line="360" w:lineRule="auto"/>
        <w:jc w:val="center"/>
        <w:rPr>
          <w:rFonts w:hint="default" w:ascii="宋体" w:hAnsi="宋体" w:eastAsia="宋体" w:cs="宋体"/>
          <w:sz w:val="22"/>
          <w:szCs w:val="22"/>
        </w:rPr>
      </w:pPr>
      <w:r>
        <w:rPr>
          <w:rFonts w:ascii="宋体" w:hAnsi="宋体" w:eastAsia="宋体" w:cs="宋体"/>
          <w:kern w:val="2"/>
          <w:sz w:val="22"/>
          <w:szCs w:val="22"/>
        </w:rPr>
        <w:t xml:space="preserve">                                      </w:t>
      </w:r>
      <w:bookmarkStart w:id="122" w:name="_Toc27852_WPSOffice_Level1"/>
      <w:r>
        <w:rPr>
          <w:rFonts w:ascii="宋体" w:hAnsi="宋体" w:eastAsia="宋体" w:cs="宋体"/>
          <w:kern w:val="2"/>
          <w:sz w:val="22"/>
          <w:szCs w:val="22"/>
        </w:rPr>
        <w:t>承诺人：</w:t>
      </w:r>
      <w:bookmarkEnd w:id="122"/>
      <w:r>
        <w:rPr>
          <w:rFonts w:ascii="宋体" w:hAnsi="宋体" w:eastAsia="宋体" w:cs="宋体"/>
          <w:kern w:val="2"/>
          <w:sz w:val="22"/>
          <w:szCs w:val="22"/>
          <w:u w:val="single"/>
        </w:rPr>
        <w:t>北京康正宏基房地产评估有限公司</w:t>
      </w:r>
    </w:p>
    <w:p>
      <w:pPr>
        <w:pStyle w:val="14"/>
        <w:widowControl w:val="0"/>
        <w:spacing w:line="360" w:lineRule="auto"/>
        <w:ind w:firstLine="6380" w:firstLineChars="2900"/>
        <w:jc w:val="both"/>
        <w:rPr>
          <w:rFonts w:hint="default" w:ascii="宋体" w:hAnsi="宋体" w:eastAsia="宋体" w:cs="宋体"/>
          <w:sz w:val="22"/>
          <w:szCs w:val="22"/>
        </w:rPr>
      </w:pPr>
      <w:r>
        <w:rPr>
          <w:rFonts w:ascii="宋体" w:hAnsi="宋体" w:eastAsia="宋体" w:cs="宋体"/>
          <w:kern w:val="2"/>
          <w:sz w:val="22"/>
          <w:szCs w:val="22"/>
        </w:rPr>
        <w:t>年    月    日</w:t>
      </w:r>
    </w:p>
    <w:p/>
    <w:p>
      <w:pPr>
        <w:spacing w:line="480" w:lineRule="auto"/>
        <w:ind w:right="108"/>
        <w:rPr>
          <w:sz w:val="24"/>
          <w:szCs w:val="24"/>
        </w:rPr>
      </w:pPr>
    </w:p>
    <w:p>
      <w:pPr>
        <w:pStyle w:val="2"/>
        <w:rPr>
          <w:rFonts w:hint="eastAsia"/>
        </w:rPr>
      </w:pPr>
    </w:p>
    <w:p>
      <w:pPr>
        <w:pStyle w:val="2"/>
        <w:rPr>
          <w:rFonts w:hint="eastAsia"/>
        </w:rPr>
      </w:pPr>
    </w:p>
    <w:p>
      <w:pPr>
        <w:pStyle w:val="2"/>
        <w:rPr>
          <w:rFonts w:hint="eastAsia"/>
        </w:rPr>
      </w:pPr>
      <w:r>
        <w:rPr>
          <w:rFonts w:hint="eastAsia"/>
        </w:rPr>
        <w:t>附件3：《报价书》</w:t>
      </w:r>
    </w:p>
    <w:p>
      <w:pPr>
        <w:rPr>
          <w:rFonts w:hint="eastAsia"/>
        </w:rPr>
      </w:pPr>
    </w:p>
    <w:p>
      <w:pPr>
        <w:pStyle w:val="3"/>
        <w:spacing w:before="480" w:after="240"/>
        <w:ind w:left="0" w:leftChars="0" w:firstLine="0" w:firstLineChars="0"/>
        <w:jc w:val="center"/>
      </w:pPr>
      <w:r>
        <w:rPr>
          <w:rStyle w:val="18"/>
          <w:b/>
          <w:bCs/>
        </w:rPr>
        <w:t>报</w:t>
      </w:r>
      <w:r>
        <w:rPr>
          <w:rStyle w:val="18"/>
          <w:rFonts w:hint="eastAsia"/>
          <w:b/>
          <w:bCs/>
          <w:lang w:val="en-US" w:eastAsia="zh-CN"/>
        </w:rPr>
        <w:t xml:space="preserve"> </w:t>
      </w:r>
      <w:r>
        <w:rPr>
          <w:rStyle w:val="18"/>
          <w:b/>
          <w:bCs/>
        </w:rPr>
        <w:t>价</w:t>
      </w:r>
      <w:r>
        <w:rPr>
          <w:rStyle w:val="18"/>
          <w:rFonts w:hint="eastAsia"/>
          <w:b/>
          <w:bCs/>
          <w:lang w:val="en-US" w:eastAsia="zh-CN"/>
        </w:rPr>
        <w:t xml:space="preserve"> </w:t>
      </w:r>
      <w:r>
        <w:rPr>
          <w:rStyle w:val="18"/>
          <w:rFonts w:hint="eastAsia"/>
          <w:b/>
          <w:bCs/>
        </w:rPr>
        <w:t>表</w:t>
      </w:r>
    </w:p>
    <w:p>
      <w:pPr>
        <w:pStyle w:val="32"/>
        <w:keepNext w:val="0"/>
        <w:keepLines w:val="0"/>
        <w:pageBreakBefore w:val="0"/>
        <w:widowControl/>
        <w:kinsoku/>
        <w:wordWrap w:val="0"/>
        <w:overflowPunct/>
        <w:topLinePunct w:val="0"/>
        <w:autoSpaceDE/>
        <w:autoSpaceDN/>
        <w:bidi w:val="0"/>
        <w:adjustRightInd/>
        <w:snapToGrid/>
        <w:spacing w:before="240" w:beforeAutospacing="0" w:after="240" w:afterAutospacing="0"/>
        <w:textAlignment w:val="auto"/>
      </w:pPr>
      <w:r>
        <w:rPr>
          <w:rStyle w:val="18"/>
        </w:rPr>
        <w:t>项目名称：</w:t>
      </w:r>
      <w:r>
        <w:t>北京市密云区水源路南侧C-2地块土地一级开发项目 MY00-0105-6038、6040 地块 R2 二类居住用地项目车位销售备案价格评估</w:t>
      </w:r>
    </w:p>
    <w:p>
      <w:pPr>
        <w:pStyle w:val="32"/>
        <w:spacing w:before="240" w:beforeAutospacing="0" w:after="240" w:afterAutospacing="0"/>
      </w:pPr>
      <w:r>
        <w:rPr>
          <w:rStyle w:val="18"/>
        </w:rPr>
        <w:t>报价人：</w:t>
      </w:r>
      <w:r>
        <w:t> 北京康正宏基房地产评估有限公司</w:t>
      </w:r>
    </w:p>
    <w:p>
      <w:pPr>
        <w:pStyle w:val="32"/>
        <w:spacing w:before="240" w:beforeAutospacing="0" w:after="240" w:afterAutospacing="0"/>
      </w:pPr>
      <w:r>
        <w:rPr>
          <w:rStyle w:val="18"/>
        </w:rPr>
        <w:t>报价日期：</w:t>
      </w:r>
      <w:r>
        <w:t> 2026年3月</w:t>
      </w:r>
      <w:r>
        <w:rPr>
          <w:rFonts w:hint="eastAsia"/>
        </w:rPr>
        <w:t>1</w:t>
      </w:r>
      <w:r>
        <w:rPr>
          <w:rFonts w:hint="eastAsia"/>
          <w:lang w:val="en-US" w:eastAsia="zh-CN"/>
        </w:rPr>
        <w:t>7</w:t>
      </w:r>
      <w:r>
        <w:t>日</w:t>
      </w:r>
    </w:p>
    <w:p>
      <w:pPr>
        <w:spacing w:before="480" w:after="480"/>
      </w:pPr>
      <w:r>
        <w:pict>
          <v:rect id="_x0000_i1025" o:spt="1" style="height:0.75pt;width:0pt;" fillcolor="#A0A0A0" filled="t" stroked="f" coordsize="21600,21600" o:hr="t" o:hrstd="t" o:hralign="center">
            <v:path/>
            <v:fill on="t" focussize="0,0"/>
            <v:stroke on="f"/>
            <v:imagedata o:title=""/>
            <o:lock v:ext="edit"/>
            <w10:wrap type="none"/>
            <w10:anchorlock/>
          </v:rect>
        </w:pic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736"/>
        <w:gridCol w:w="235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0" w:type="auto"/>
            <w:noWrap w:val="0"/>
            <w:vAlign w:val="top"/>
          </w:tcPr>
          <w:p>
            <w:pPr>
              <w:spacing w:line="360" w:lineRule="auto"/>
              <w:ind w:right="960"/>
              <w:jc w:val="center"/>
              <w:rPr>
                <w:rFonts w:hint="eastAsia" w:ascii="宋体" w:hAnsi="宋体"/>
                <w:sz w:val="24"/>
              </w:rPr>
            </w:pPr>
            <w:r>
              <w:rPr>
                <w:rFonts w:hint="eastAsia" w:ascii="宋体" w:hAnsi="宋体"/>
                <w:sz w:val="24"/>
              </w:rPr>
              <w:t>序号</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服务内容</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含税总价（元）</w:t>
            </w:r>
          </w:p>
        </w:tc>
        <w:tc>
          <w:tcPr>
            <w:tcW w:w="0" w:type="auto"/>
            <w:noWrap w:val="0"/>
            <w:vAlign w:val="top"/>
          </w:tcPr>
          <w:p>
            <w:pPr>
              <w:spacing w:line="360" w:lineRule="auto"/>
              <w:ind w:right="960"/>
              <w:jc w:val="center"/>
              <w:rPr>
                <w:rFonts w:hint="eastAsia" w:ascii="宋体" w:hAnsi="宋体"/>
                <w:sz w:val="24"/>
              </w:rPr>
            </w:pPr>
            <w:r>
              <w:rPr>
                <w:rFonts w:ascii="Segoe UI" w:hAnsi="Segoe UI" w:cs="Segoe UI"/>
                <w:color w:val="0F1115"/>
                <w:sz w:val="23"/>
                <w:szCs w:val="23"/>
                <w:shd w:val="clear" w:color="auto" w:fill="FFFFFF"/>
              </w:rPr>
              <w:t>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360" w:lineRule="auto"/>
              <w:ind w:right="960"/>
              <w:jc w:val="center"/>
              <w:rPr>
                <w:rFonts w:hint="eastAsia" w:ascii="宋体" w:hAnsi="宋体"/>
                <w:sz w:val="24"/>
              </w:rPr>
            </w:pPr>
            <w:r>
              <w:rPr>
                <w:rFonts w:hint="eastAsia" w:ascii="宋体" w:hAnsi="宋体"/>
                <w:sz w:val="24"/>
              </w:rPr>
              <w:t>1</w:t>
            </w:r>
          </w:p>
        </w:tc>
        <w:tc>
          <w:tcPr>
            <w:tcW w:w="0" w:type="auto"/>
            <w:noWrap w:val="0"/>
            <w:vAlign w:val="top"/>
          </w:tcPr>
          <w:p>
            <w:pPr>
              <w:spacing w:line="360" w:lineRule="auto"/>
              <w:ind w:right="960"/>
              <w:rPr>
                <w:rFonts w:hint="eastAsia" w:ascii="宋体" w:hAnsi="宋体"/>
                <w:sz w:val="24"/>
              </w:rPr>
            </w:pPr>
            <w:r>
              <w:rPr>
                <w:rFonts w:ascii="Segoe UI" w:hAnsi="Segoe UI" w:cs="Segoe UI"/>
                <w:color w:val="0F1115"/>
                <w:sz w:val="23"/>
                <w:szCs w:val="23"/>
                <w:shd w:val="clear" w:color="auto" w:fill="FFFFFF"/>
              </w:rPr>
              <w:t>车位销售备案价格评估服务</w:t>
            </w:r>
          </w:p>
        </w:tc>
        <w:tc>
          <w:tcPr>
            <w:tcW w:w="0" w:type="auto"/>
            <w:noWrap w:val="0"/>
            <w:vAlign w:val="top"/>
          </w:tcPr>
          <w:p>
            <w:pPr>
              <w:spacing w:line="360" w:lineRule="auto"/>
              <w:ind w:right="960"/>
              <w:rPr>
                <w:rFonts w:hint="eastAsia" w:ascii="宋体" w:hAnsi="宋体"/>
                <w:sz w:val="24"/>
              </w:rPr>
            </w:pPr>
            <w:r>
              <w:rPr>
                <w:rFonts w:hint="eastAsia" w:ascii="宋体" w:hAnsi="宋体"/>
                <w:sz w:val="24"/>
              </w:rPr>
              <w:t>15000元</w:t>
            </w:r>
          </w:p>
        </w:tc>
        <w:tc>
          <w:tcPr>
            <w:tcW w:w="0" w:type="auto"/>
            <w:noWrap w:val="0"/>
            <w:vAlign w:val="top"/>
          </w:tcPr>
          <w:p>
            <w:pPr>
              <w:spacing w:line="360" w:lineRule="auto"/>
              <w:ind w:right="960"/>
              <w:rPr>
                <w:rFonts w:hint="eastAsia" w:ascii="宋体" w:hAnsi="宋体"/>
                <w:sz w:val="24"/>
              </w:rPr>
            </w:pPr>
            <w:r>
              <w:rPr>
                <w:rFonts w:hint="eastAsia" w:ascii="宋体" w:hAnsi="宋体"/>
                <w:sz w:val="24"/>
              </w:rPr>
              <w:t>6%</w:t>
            </w:r>
          </w:p>
        </w:tc>
      </w:tr>
    </w:tbl>
    <w:p>
      <w:pPr>
        <w:spacing w:line="360" w:lineRule="auto"/>
        <w:ind w:right="960"/>
        <w:rPr>
          <w:rFonts w:hint="eastAsia" w:ascii="宋体" w:hAnsi="宋体"/>
          <w:sz w:val="24"/>
        </w:rPr>
      </w:pPr>
    </w:p>
    <w:p>
      <w:pPr>
        <w:pStyle w:val="32"/>
        <w:shd w:val="clear" w:color="auto" w:fill="FFFFFF"/>
        <w:spacing w:before="240" w:beforeAutospacing="0" w:after="240" w:afterAutospacing="0"/>
        <w:rPr>
          <w:rFonts w:ascii="Segoe UI" w:hAnsi="Segoe UI" w:cs="Segoe UI"/>
          <w:color w:val="0F1115"/>
        </w:rPr>
      </w:pPr>
      <w:r>
        <w:rPr>
          <w:rStyle w:val="18"/>
          <w:rFonts w:ascii="Segoe UI" w:hAnsi="Segoe UI" w:cs="Segoe UI"/>
          <w:color w:val="0F1115"/>
        </w:rPr>
        <w:t>报价说明：</w:t>
      </w:r>
    </w:p>
    <w:p>
      <w:pPr>
        <w:pStyle w:val="32"/>
        <w:shd w:val="clear" w:color="auto" w:fill="FFFFFF"/>
        <w:spacing w:before="240" w:beforeAutospacing="0" w:after="240" w:afterAutospacing="0"/>
        <w:rPr>
          <w:rFonts w:ascii="Segoe UI" w:hAnsi="Segoe UI" w:cs="Segoe UI"/>
          <w:color w:val="0F1115"/>
        </w:rPr>
      </w:pPr>
      <w:r>
        <w:rPr>
          <w:rFonts w:ascii="Segoe UI" w:hAnsi="Segoe UI" w:cs="Segoe UI"/>
          <w:color w:val="0F1115"/>
        </w:rPr>
        <w:t>我方已完全理解并接受《报价须知》的全部条款和要求，并承诺将严格按照合同约定履行相关义务。</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script"/>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12</w:t>
    </w:r>
    <w:r>
      <w:rPr>
        <w:b/>
        <w:bCs/>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116144"/>
    <w:rsid w:val="00123FA0"/>
    <w:rsid w:val="0013379B"/>
    <w:rsid w:val="001362BD"/>
    <w:rsid w:val="001570D8"/>
    <w:rsid w:val="001A74BB"/>
    <w:rsid w:val="001E3BE6"/>
    <w:rsid w:val="001E3C50"/>
    <w:rsid w:val="001F06B8"/>
    <w:rsid w:val="002114F5"/>
    <w:rsid w:val="00266F40"/>
    <w:rsid w:val="002C32D3"/>
    <w:rsid w:val="002D542E"/>
    <w:rsid w:val="002E52E4"/>
    <w:rsid w:val="00325359"/>
    <w:rsid w:val="003404E0"/>
    <w:rsid w:val="00370B69"/>
    <w:rsid w:val="003C4C14"/>
    <w:rsid w:val="003D7239"/>
    <w:rsid w:val="003F2A53"/>
    <w:rsid w:val="00427355"/>
    <w:rsid w:val="00447328"/>
    <w:rsid w:val="00463A0A"/>
    <w:rsid w:val="004839FA"/>
    <w:rsid w:val="004E5FFC"/>
    <w:rsid w:val="00521A43"/>
    <w:rsid w:val="00534F27"/>
    <w:rsid w:val="00543A6A"/>
    <w:rsid w:val="005500BE"/>
    <w:rsid w:val="00573997"/>
    <w:rsid w:val="0057646B"/>
    <w:rsid w:val="00594944"/>
    <w:rsid w:val="00594DD6"/>
    <w:rsid w:val="005A0132"/>
    <w:rsid w:val="005B6011"/>
    <w:rsid w:val="005E1316"/>
    <w:rsid w:val="005E2C87"/>
    <w:rsid w:val="00615010"/>
    <w:rsid w:val="00672059"/>
    <w:rsid w:val="006926F5"/>
    <w:rsid w:val="006C4ACE"/>
    <w:rsid w:val="006E03AC"/>
    <w:rsid w:val="00781AB2"/>
    <w:rsid w:val="007A2139"/>
    <w:rsid w:val="007B58F1"/>
    <w:rsid w:val="007D0891"/>
    <w:rsid w:val="007D2EC2"/>
    <w:rsid w:val="0080439A"/>
    <w:rsid w:val="00834F20"/>
    <w:rsid w:val="008B00A9"/>
    <w:rsid w:val="008D4FDE"/>
    <w:rsid w:val="008E11D1"/>
    <w:rsid w:val="008E7E75"/>
    <w:rsid w:val="009117F5"/>
    <w:rsid w:val="00936F9C"/>
    <w:rsid w:val="009A161C"/>
    <w:rsid w:val="00A22AF2"/>
    <w:rsid w:val="00A500BC"/>
    <w:rsid w:val="00A70DF1"/>
    <w:rsid w:val="00A7312D"/>
    <w:rsid w:val="00A842FD"/>
    <w:rsid w:val="00A96F5D"/>
    <w:rsid w:val="00AD1AE6"/>
    <w:rsid w:val="00B21F76"/>
    <w:rsid w:val="00B60F06"/>
    <w:rsid w:val="00B656EF"/>
    <w:rsid w:val="00B7192D"/>
    <w:rsid w:val="00B72B8E"/>
    <w:rsid w:val="00C10DFE"/>
    <w:rsid w:val="00C13A31"/>
    <w:rsid w:val="00C21946"/>
    <w:rsid w:val="00C2256A"/>
    <w:rsid w:val="00C30D76"/>
    <w:rsid w:val="00C84E2D"/>
    <w:rsid w:val="00CB09B2"/>
    <w:rsid w:val="00D27362"/>
    <w:rsid w:val="00D818CD"/>
    <w:rsid w:val="00DA1C68"/>
    <w:rsid w:val="00E3211C"/>
    <w:rsid w:val="00E94C97"/>
    <w:rsid w:val="00EB48DF"/>
    <w:rsid w:val="00EB59B7"/>
    <w:rsid w:val="00EC0CFD"/>
    <w:rsid w:val="00EF6792"/>
    <w:rsid w:val="00F03C08"/>
    <w:rsid w:val="00F05225"/>
    <w:rsid w:val="00F3596D"/>
    <w:rsid w:val="00F51668"/>
    <w:rsid w:val="00F83B26"/>
    <w:rsid w:val="00FC4782"/>
    <w:rsid w:val="00FC76D2"/>
    <w:rsid w:val="00FD0271"/>
    <w:rsid w:val="00FE49CB"/>
    <w:rsid w:val="00FF584C"/>
    <w:rsid w:val="011F1853"/>
    <w:rsid w:val="0D5B7876"/>
    <w:rsid w:val="19B50D56"/>
    <w:rsid w:val="206C1D0F"/>
    <w:rsid w:val="2533519E"/>
    <w:rsid w:val="2C2770BE"/>
    <w:rsid w:val="2E916AAB"/>
    <w:rsid w:val="2F615553"/>
    <w:rsid w:val="30E74848"/>
    <w:rsid w:val="33A261B9"/>
    <w:rsid w:val="3A6A4B63"/>
    <w:rsid w:val="495165E7"/>
    <w:rsid w:val="54974FB3"/>
    <w:rsid w:val="58052B43"/>
    <w:rsid w:val="5C5C4CE7"/>
    <w:rsid w:val="6BCF1A73"/>
    <w:rsid w:val="74787B46"/>
    <w:rsid w:val="74FF101B"/>
    <w:rsid w:val="767A091B"/>
    <w:rsid w:val="7C3F490C"/>
    <w:rsid w:val="7C5A0D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sz w:val="24"/>
    </w:rPr>
  </w:style>
  <w:style w:type="paragraph" w:styleId="4">
    <w:name w:val="annotation text"/>
    <w:basedOn w:val="1"/>
    <w:link w:val="26"/>
    <w:semiHidden/>
    <w:qFormat/>
    <w:uiPriority w:val="99"/>
    <w:pPr>
      <w:jc w:val="left"/>
    </w:pPr>
    <w:rPr>
      <w:rFonts w:eastAsia="仿宋_GB2312"/>
      <w:sz w:val="30"/>
      <w:szCs w:val="30"/>
    </w:rPr>
  </w:style>
  <w:style w:type="paragraph" w:styleId="5">
    <w:name w:val="Body Text"/>
    <w:basedOn w:val="1"/>
    <w:link w:val="24"/>
    <w:qFormat/>
    <w:uiPriority w:val="99"/>
    <w:pPr>
      <w:spacing w:before="120" w:after="120" w:line="400" w:lineRule="exact"/>
    </w:pPr>
    <w:rPr>
      <w:rFonts w:eastAsia="仿宋_GB2312"/>
      <w:sz w:val="24"/>
      <w:szCs w:val="24"/>
    </w:rPr>
  </w:style>
  <w:style w:type="paragraph" w:styleId="6">
    <w:name w:val="Body Text Indent"/>
    <w:basedOn w:val="1"/>
    <w:link w:val="23"/>
    <w:qFormat/>
    <w:uiPriority w:val="99"/>
    <w:pPr>
      <w:tabs>
        <w:tab w:val="left" w:pos="720"/>
      </w:tabs>
      <w:spacing w:before="120" w:after="120" w:line="400" w:lineRule="exact"/>
      <w:ind w:left="360"/>
    </w:pPr>
    <w:rPr>
      <w:rFonts w:eastAsia="仿宋_GB2312"/>
      <w:sz w:val="24"/>
      <w:szCs w:val="24"/>
    </w:rPr>
  </w:style>
  <w:style w:type="paragraph" w:styleId="7">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8">
    <w:name w:val="Balloon Text"/>
    <w:basedOn w:val="1"/>
    <w:link w:val="30"/>
    <w:semiHidden/>
    <w:unhideWhenUsed/>
    <w:qFormat/>
    <w:uiPriority w:val="99"/>
    <w:rPr>
      <w:sz w:val="18"/>
      <w:szCs w:val="18"/>
    </w:rPr>
  </w:style>
  <w:style w:type="paragraph" w:styleId="9">
    <w:name w:val="footer"/>
    <w:basedOn w:val="1"/>
    <w:link w:val="28"/>
    <w:qFormat/>
    <w:uiPriority w:val="99"/>
    <w:pPr>
      <w:tabs>
        <w:tab w:val="center" w:pos="4153"/>
        <w:tab w:val="right" w:pos="8306"/>
      </w:tabs>
      <w:snapToGrid w:val="0"/>
      <w:jc w:val="left"/>
    </w:pPr>
    <w:rPr>
      <w:sz w:val="18"/>
      <w:szCs w:val="18"/>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2">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3">
    <w:name w:val="Body Text 2"/>
    <w:basedOn w:val="1"/>
    <w:link w:val="25"/>
    <w:qFormat/>
    <w:uiPriority w:val="99"/>
    <w:pPr>
      <w:spacing w:before="120" w:after="120" w:line="400" w:lineRule="exact"/>
    </w:pPr>
    <w:rPr>
      <w:rFonts w:ascii="宋体" w:hAnsi="宋体" w:cs="宋体"/>
      <w:b/>
      <w:bCs/>
      <w:sz w:val="24"/>
      <w:szCs w:val="24"/>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Arial Unicode MS"/>
      <w:kern w:val="0"/>
      <w:sz w:val="20"/>
      <w:szCs w:val="20"/>
    </w:rPr>
  </w:style>
  <w:style w:type="paragraph" w:styleId="15">
    <w:name w:val="annotation subject"/>
    <w:basedOn w:val="4"/>
    <w:next w:val="4"/>
    <w:link w:val="29"/>
    <w:semiHidden/>
    <w:unhideWhenUsed/>
    <w:qFormat/>
    <w:uiPriority w:val="99"/>
    <w:rPr>
      <w:rFonts w:eastAsia="宋体"/>
      <w:b/>
      <w:bCs/>
      <w:sz w:val="21"/>
      <w:szCs w:val="21"/>
    </w:rPr>
  </w:style>
  <w:style w:type="character" w:styleId="18">
    <w:name w:val="Strong"/>
    <w:qFormat/>
    <w:locked/>
    <w:uiPriority w:val="22"/>
    <w:rPr>
      <w:b/>
      <w:bCs/>
    </w:rPr>
  </w:style>
  <w:style w:type="character" w:styleId="19">
    <w:name w:val="annotation reference"/>
    <w:semiHidden/>
    <w:unhideWhenUsed/>
    <w:qFormat/>
    <w:uiPriority w:val="99"/>
    <w:rPr>
      <w:sz w:val="21"/>
      <w:szCs w:val="21"/>
    </w:rPr>
  </w:style>
  <w:style w:type="character" w:customStyle="1" w:styleId="20">
    <w:name w:val="标题 1 Char"/>
    <w:link w:val="3"/>
    <w:qFormat/>
    <w:locked/>
    <w:uiPriority w:val="99"/>
    <w:rPr>
      <w:b/>
      <w:bCs/>
      <w:kern w:val="44"/>
      <w:sz w:val="44"/>
      <w:szCs w:val="44"/>
    </w:rPr>
  </w:style>
  <w:style w:type="paragraph" w:styleId="21">
    <w:name w:val="List Paragraph"/>
    <w:basedOn w:val="1"/>
    <w:qFormat/>
    <w:uiPriority w:val="99"/>
    <w:pPr>
      <w:widowControl/>
      <w:ind w:right="50" w:rightChars="50" w:firstLine="420" w:firstLineChars="200"/>
    </w:pPr>
    <w:rPr>
      <w:rFonts w:ascii="Calibri" w:hAnsi="Calibri" w:cs="Calibri"/>
    </w:rPr>
  </w:style>
  <w:style w:type="paragraph" w:customStyle="1" w:styleId="22">
    <w:name w:val="TOC 标题1"/>
    <w:basedOn w:val="3"/>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3">
    <w:name w:val="正文文本缩进 Char"/>
    <w:link w:val="6"/>
    <w:qFormat/>
    <w:locked/>
    <w:uiPriority w:val="99"/>
    <w:rPr>
      <w:rFonts w:ascii="Times New Roman" w:hAnsi="Times New Roman" w:eastAsia="仿宋_GB2312" w:cs="Times New Roman"/>
      <w:sz w:val="20"/>
      <w:szCs w:val="20"/>
    </w:rPr>
  </w:style>
  <w:style w:type="character" w:customStyle="1" w:styleId="24">
    <w:name w:val="正文文本 Char"/>
    <w:link w:val="5"/>
    <w:qFormat/>
    <w:locked/>
    <w:uiPriority w:val="99"/>
    <w:rPr>
      <w:rFonts w:ascii="Times New Roman" w:hAnsi="Times New Roman" w:eastAsia="仿宋_GB2312" w:cs="Times New Roman"/>
      <w:sz w:val="20"/>
      <w:szCs w:val="20"/>
    </w:rPr>
  </w:style>
  <w:style w:type="character" w:customStyle="1" w:styleId="25">
    <w:name w:val="正文文本 2 Char"/>
    <w:link w:val="13"/>
    <w:qFormat/>
    <w:locked/>
    <w:uiPriority w:val="99"/>
    <w:rPr>
      <w:rFonts w:ascii="宋体" w:hAnsi="宋体" w:eastAsia="宋体" w:cs="宋体"/>
      <w:b/>
      <w:bCs/>
      <w:sz w:val="20"/>
      <w:szCs w:val="20"/>
    </w:rPr>
  </w:style>
  <w:style w:type="character" w:customStyle="1" w:styleId="26">
    <w:name w:val="批注文字 Char"/>
    <w:link w:val="4"/>
    <w:semiHidden/>
    <w:qFormat/>
    <w:locked/>
    <w:uiPriority w:val="99"/>
    <w:rPr>
      <w:rFonts w:ascii="Times New Roman" w:hAnsi="Times New Roman" w:eastAsia="仿宋_GB2312" w:cs="Times New Roman"/>
      <w:sz w:val="30"/>
      <w:szCs w:val="30"/>
    </w:rPr>
  </w:style>
  <w:style w:type="character" w:customStyle="1" w:styleId="27">
    <w:name w:val="页眉 Char"/>
    <w:link w:val="10"/>
    <w:semiHidden/>
    <w:qFormat/>
    <w:locked/>
    <w:uiPriority w:val="99"/>
    <w:rPr>
      <w:rFonts w:ascii="Times New Roman" w:hAnsi="Times New Roman" w:eastAsia="宋体" w:cs="Times New Roman"/>
      <w:sz w:val="18"/>
      <w:szCs w:val="18"/>
    </w:rPr>
  </w:style>
  <w:style w:type="character" w:customStyle="1" w:styleId="28">
    <w:name w:val="页脚 Char"/>
    <w:link w:val="9"/>
    <w:qFormat/>
    <w:locked/>
    <w:uiPriority w:val="99"/>
    <w:rPr>
      <w:rFonts w:ascii="Times New Roman" w:hAnsi="Times New Roman" w:eastAsia="宋体" w:cs="Times New Roman"/>
      <w:sz w:val="18"/>
      <w:szCs w:val="18"/>
    </w:rPr>
  </w:style>
  <w:style w:type="character" w:customStyle="1" w:styleId="29">
    <w:name w:val="批注主题 Char"/>
    <w:link w:val="15"/>
    <w:semiHidden/>
    <w:qFormat/>
    <w:uiPriority w:val="99"/>
    <w:rPr>
      <w:rFonts w:ascii="Times New Roman" w:hAnsi="Times New Roman" w:eastAsia="仿宋_GB2312" w:cs="Times New Roman"/>
      <w:b/>
      <w:bCs/>
      <w:kern w:val="2"/>
      <w:sz w:val="21"/>
      <w:szCs w:val="21"/>
    </w:rPr>
  </w:style>
  <w:style w:type="character" w:customStyle="1" w:styleId="30">
    <w:name w:val="批注框文本 Char"/>
    <w:link w:val="8"/>
    <w:semiHidden/>
    <w:qFormat/>
    <w:uiPriority w:val="99"/>
    <w:rPr>
      <w:rFonts w:ascii="Times New Roman" w:hAnsi="Times New Roman"/>
      <w:kern w:val="2"/>
      <w:sz w:val="18"/>
      <w:szCs w:val="18"/>
    </w:rPr>
  </w:style>
  <w:style w:type="paragraph" w:customStyle="1" w:styleId="31">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2">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1100</Words>
  <Characters>6275</Characters>
  <Lines>52</Lines>
  <Paragraphs>14</Paragraphs>
  <TotalTime>15</TotalTime>
  <ScaleCrop>false</ScaleCrop>
  <LinksUpToDate>false</LinksUpToDate>
  <CharactersWithSpaces>7361</CharactersWithSpaces>
  <Application>WPS Office_11.8.2.9075_F1E327BC-269C-435d-A152-05C5408002CA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2026-03-30T08:22:00Z</dcterms:created>
  <dc:creator>topvaluer</dc:creator>
  <cp:lastModifiedBy>wb</cp:lastModifiedBy>
  <cp:lastPrinted>2016-12-07T02:30:00Z</cp:lastPrinted>
  <dcterms:modified xsi:type="dcterms:W3CDTF">2026-03-31T00:35:20Z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2052-11.8.2.9075</vt:lpwstr>
  </property>
  <property fmtid="{D5CDD505-2E9C-101B-9397-08002B2CF9AE}" pid="3" name="KSOTemplateDocerSaveRecord">
    <vt:lpwstr>eyJoZGlkIjoiMGNkN2FjZmFkNzVjYzlhNWUxNjVlYjZkNjUyNTVhMmQiLCJ1c2VySWQiOiIzNjQ2MDg5NDYifQ==</vt:lpwstr>
  </property>
  <property fmtid="{D5CDD505-2E9C-101B-9397-08002B2CF9AE}" pid="4" name="ICV">
    <vt:lpwstr>A75299819C074B58B687C717FB862287_13</vt:lpwstr>
  </property>
</Properties>
</file>